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45" w:rsidRDefault="006B0045" w:rsidP="006B0045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4E916AD9" wp14:editId="3BBCD608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45" w:rsidRDefault="006B0045" w:rsidP="006B004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6B0045" w:rsidRDefault="006B0045" w:rsidP="006B004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6B0045" w:rsidRDefault="006B0045" w:rsidP="006B004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6B0045" w:rsidRDefault="006B0045" w:rsidP="006B004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6B0045" w:rsidRDefault="006B0045" w:rsidP="006B0045">
      <w:pPr>
        <w:shd w:val="clear" w:color="auto" w:fill="FFFFFF"/>
        <w:jc w:val="center"/>
        <w:rPr>
          <w:b/>
        </w:rPr>
      </w:pPr>
    </w:p>
    <w:p w:rsidR="006B0045" w:rsidRDefault="006B0045" w:rsidP="006B0045">
      <w:pPr>
        <w:shd w:val="clear" w:color="auto" w:fill="FFFFFF"/>
        <w:jc w:val="center"/>
      </w:pPr>
      <w:r>
        <w:rPr>
          <w:b/>
          <w:sz w:val="48"/>
          <w:szCs w:val="48"/>
        </w:rPr>
        <w:t>П О С Т А Н О В Л Е Н И Е</w:t>
      </w:r>
    </w:p>
    <w:p w:rsidR="006B0045" w:rsidRDefault="006B0045" w:rsidP="006B0045">
      <w:pPr>
        <w:shd w:val="clear" w:color="auto" w:fill="FFFFFF"/>
        <w:jc w:val="center"/>
      </w:pPr>
    </w:p>
    <w:p w:rsidR="006B0045" w:rsidRDefault="006B0045" w:rsidP="006B004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D7ECC">
        <w:rPr>
          <w:sz w:val="28"/>
          <w:szCs w:val="28"/>
        </w:rPr>
        <w:t>19</w:t>
      </w:r>
      <w:r>
        <w:rPr>
          <w:sz w:val="28"/>
          <w:szCs w:val="28"/>
        </w:rPr>
        <w:t>» декабря 202</w:t>
      </w:r>
      <w:r w:rsidR="00AD7ECC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        </w:t>
      </w:r>
      <w:r w:rsidR="00AD7EC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AD7ECC">
        <w:rPr>
          <w:sz w:val="28"/>
          <w:szCs w:val="28"/>
        </w:rPr>
        <w:t>260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6B0045" w:rsidTr="009758DC">
        <w:tc>
          <w:tcPr>
            <w:tcW w:w="9464" w:type="dxa"/>
          </w:tcPr>
          <w:p w:rsidR="006B0045" w:rsidRDefault="006B0045" w:rsidP="009758DC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  <w:bookmarkEnd w:id="0"/>
            <w:bookmarkEnd w:id="1"/>
          </w:p>
          <w:p w:rsidR="006B0045" w:rsidRDefault="006B0045" w:rsidP="009758DC">
            <w:pPr>
              <w:spacing w:before="30" w:after="30"/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C74ACF">
              <w:rPr>
                <w:b/>
                <w:sz w:val="28"/>
                <w:szCs w:val="28"/>
              </w:rPr>
              <w:t>Поряд</w:t>
            </w:r>
            <w:r>
              <w:rPr>
                <w:b/>
                <w:sz w:val="28"/>
                <w:szCs w:val="28"/>
              </w:rPr>
              <w:t>о</w:t>
            </w:r>
            <w:r w:rsidRPr="00C74ACF">
              <w:rPr>
                <w:b/>
                <w:sz w:val="28"/>
                <w:szCs w:val="28"/>
              </w:rPr>
              <w:t xml:space="preserve">к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образования </w:t>
            </w:r>
            <w:proofErr w:type="spellStart"/>
            <w:r w:rsidRPr="00C74ACF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C74ACF">
              <w:rPr>
                <w:b/>
                <w:sz w:val="28"/>
                <w:szCs w:val="28"/>
              </w:rPr>
              <w:t xml:space="preserve"> сельское поселение Тосненского района Ленинградской области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Тельмановское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Тосненского района Ленинградской области от 31.12.2013 г. № 307</w:t>
            </w:r>
          </w:p>
        </w:tc>
        <w:tc>
          <w:tcPr>
            <w:tcW w:w="4786" w:type="dxa"/>
          </w:tcPr>
          <w:p w:rsidR="006B0045" w:rsidRDefault="006B0045" w:rsidP="009758DC">
            <w:pPr>
              <w:rPr>
                <w:highlight w:val="yellow"/>
              </w:rPr>
            </w:pPr>
          </w:p>
        </w:tc>
      </w:tr>
    </w:tbl>
    <w:p w:rsidR="006B0045" w:rsidRDefault="006B0045" w:rsidP="006B0045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6B0045" w:rsidRDefault="006B0045" w:rsidP="006B0045">
      <w:pPr>
        <w:ind w:firstLine="708"/>
        <w:jc w:val="both"/>
        <w:rPr>
          <w:sz w:val="28"/>
        </w:rPr>
      </w:pPr>
      <w:bookmarkStart w:id="2" w:name="sub_100"/>
      <w:r>
        <w:rPr>
          <w:sz w:val="28"/>
          <w:szCs w:val="28"/>
        </w:rPr>
        <w:t xml:space="preserve">С целью приведения муниципального нормативного акта в соответствие действующему законодательству, руководствуясь положениями </w:t>
      </w:r>
      <w:r w:rsidRPr="00C74ACF">
        <w:rPr>
          <w:sz w:val="28"/>
          <w:szCs w:val="28"/>
        </w:rPr>
        <w:t xml:space="preserve">Бюджетного Кодекса Российской Федерации от 31.07.1998 </w:t>
      </w:r>
      <w:r>
        <w:rPr>
          <w:sz w:val="28"/>
          <w:szCs w:val="28"/>
        </w:rPr>
        <w:t>№</w:t>
      </w:r>
      <w:r w:rsidRPr="00C74ACF">
        <w:rPr>
          <w:sz w:val="28"/>
          <w:szCs w:val="28"/>
        </w:rPr>
        <w:t xml:space="preserve"> 145-ФЗ</w:t>
      </w:r>
      <w:r>
        <w:rPr>
          <w:sz w:val="28"/>
          <w:szCs w:val="28"/>
        </w:rPr>
        <w:t xml:space="preserve"> </w:t>
      </w:r>
      <w:r w:rsidRPr="00C74ACF">
        <w:rPr>
          <w:sz w:val="28"/>
          <w:szCs w:val="28"/>
        </w:rPr>
        <w:t>и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удовлетворяя протест Тосненской городской прокуратуры Ленинградской области от 28.11.2022г. №7-65-2022, </w:t>
      </w:r>
      <w:r>
        <w:rPr>
          <w:sz w:val="28"/>
        </w:rPr>
        <w:t xml:space="preserve">администрация муниципального образования </w:t>
      </w:r>
      <w:proofErr w:type="spellStart"/>
      <w:r>
        <w:rPr>
          <w:sz w:val="28"/>
        </w:rPr>
        <w:t>Тельмановское</w:t>
      </w:r>
      <w:proofErr w:type="spellEnd"/>
      <w:r>
        <w:rPr>
          <w:sz w:val="28"/>
        </w:rPr>
        <w:t xml:space="preserve"> сельское поселение Тосненского района Ленинградской области</w:t>
      </w:r>
    </w:p>
    <w:p w:rsidR="006B0045" w:rsidRDefault="006B0045" w:rsidP="006B0045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6B0045" w:rsidRDefault="006B0045" w:rsidP="006B004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B0045" w:rsidRDefault="006B0045" w:rsidP="006B00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Внести в п</w:t>
      </w:r>
      <w:r w:rsidRPr="00C74ACF">
        <w:rPr>
          <w:rFonts w:ascii="Times New Roman" w:hAnsi="Times New Roman" w:cs="Times New Roman"/>
          <w:sz w:val="28"/>
          <w:szCs w:val="24"/>
        </w:rPr>
        <w:t xml:space="preserve">орядок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образования </w:t>
      </w:r>
      <w:proofErr w:type="spellStart"/>
      <w:r w:rsidRPr="00C74ACF">
        <w:rPr>
          <w:rFonts w:ascii="Times New Roman" w:hAnsi="Times New Roman" w:cs="Times New Roman"/>
          <w:sz w:val="28"/>
          <w:szCs w:val="24"/>
        </w:rPr>
        <w:t>Тельмановское</w:t>
      </w:r>
      <w:proofErr w:type="spellEnd"/>
      <w:r w:rsidRPr="00C74ACF">
        <w:rPr>
          <w:rFonts w:ascii="Times New Roman" w:hAnsi="Times New Roman" w:cs="Times New Roman"/>
          <w:sz w:val="28"/>
          <w:szCs w:val="24"/>
        </w:rPr>
        <w:t xml:space="preserve">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Тельмановское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сельское поселение Тосненского района Ленинградской области от 31.12.2013 г. № 307 (далее – Порядок) следующие изменения:</w:t>
      </w:r>
    </w:p>
    <w:p w:rsidR="006B0045" w:rsidRDefault="006B0045" w:rsidP="006B0045">
      <w:pPr>
        <w:autoSpaceDN w:val="0"/>
        <w:ind w:firstLine="540"/>
        <w:jc w:val="both"/>
        <w:outlineLvl w:val="1"/>
        <w:rPr>
          <w:sz w:val="28"/>
        </w:rPr>
      </w:pPr>
      <w:r>
        <w:rPr>
          <w:sz w:val="28"/>
        </w:rPr>
        <w:t>Дополнить Поряд</w:t>
      </w:r>
      <w:r>
        <w:rPr>
          <w:sz w:val="28"/>
        </w:rPr>
        <w:t xml:space="preserve">ок </w:t>
      </w:r>
      <w:r>
        <w:rPr>
          <w:sz w:val="28"/>
        </w:rPr>
        <w:t>пунктами следующего содержания:</w:t>
      </w:r>
    </w:p>
    <w:p w:rsidR="00341865" w:rsidRPr="00341865" w:rsidRDefault="006B0045" w:rsidP="0034186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="00341865">
        <w:rPr>
          <w:sz w:val="28"/>
        </w:rPr>
        <w:t>52.</w:t>
      </w:r>
      <w:r>
        <w:rPr>
          <w:sz w:val="28"/>
        </w:rPr>
        <w:t xml:space="preserve"> </w:t>
      </w:r>
      <w:r w:rsidR="00341865" w:rsidRPr="00341865">
        <w:rPr>
          <w:sz w:val="28"/>
        </w:rPr>
        <w:t>Отчет и пояснительная записка к нему представляются ежегодно, до 1 марта года, следующего за отчетным, на бумажном носителе или в электронной форме, в том числе с применением автоматизированных информационных систем:</w:t>
      </w:r>
    </w:p>
    <w:p w:rsidR="00341865" w:rsidRPr="00341865" w:rsidRDefault="00AD7ECC" w:rsidP="00AD7EC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>О</w:t>
      </w:r>
      <w:r w:rsidR="00341865" w:rsidRPr="00341865">
        <w:rPr>
          <w:sz w:val="28"/>
        </w:rPr>
        <w:t>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образования, если иное не установлено муниципальным правовым актом.</w:t>
      </w:r>
    </w:p>
    <w:p w:rsidR="00AD7ECC" w:rsidRDefault="00AD7ECC" w:rsidP="00AD7EC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53</w:t>
      </w:r>
      <w:r w:rsidR="00341865" w:rsidRPr="00341865">
        <w:rPr>
          <w:sz w:val="28"/>
        </w:rPr>
        <w:t>. Отчет подлежит размещению на официальном сайте органа контроля в информационно-телекоммуникационной сети "Интернет" в порядке, установленном органом контроля, не позднее 1 апреля года, следующего за отчетным.</w:t>
      </w:r>
    </w:p>
    <w:p w:rsidR="006B0045" w:rsidRPr="007D2047" w:rsidRDefault="00AD7ECC" w:rsidP="00AD7EC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54. Утвердить форму отчета о результатах контрольной деятельности органа внутреннего государственного (муниципального) финансового контроля в соответствии с Приложением.»</w:t>
      </w:r>
    </w:p>
    <w:p w:rsidR="006B0045" w:rsidRDefault="006B0045" w:rsidP="00AD7E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Опубликовать данное постановление</w:t>
      </w:r>
      <w:r w:rsidR="00AD7ECC">
        <w:rPr>
          <w:sz w:val="28"/>
        </w:rPr>
        <w:t xml:space="preserve"> в соответствии с положениями об официальном опубликовании нормативных правовых актов, предусмотренными уставом муниципального образования </w:t>
      </w:r>
      <w:proofErr w:type="spellStart"/>
      <w:r w:rsidR="00AD7ECC">
        <w:rPr>
          <w:sz w:val="28"/>
        </w:rPr>
        <w:t>Тельмановское</w:t>
      </w:r>
      <w:proofErr w:type="spellEnd"/>
      <w:r w:rsidR="00AD7ECC">
        <w:rPr>
          <w:sz w:val="28"/>
        </w:rPr>
        <w:t xml:space="preserve"> сельское поселение Тосненского района Ленинградской </w:t>
      </w:r>
      <w:proofErr w:type="gramStart"/>
      <w:r w:rsidR="00AD7ECC">
        <w:rPr>
          <w:sz w:val="28"/>
        </w:rPr>
        <w:t xml:space="preserve">области </w:t>
      </w:r>
      <w:r>
        <w:rPr>
          <w:sz w:val="28"/>
        </w:rPr>
        <w:t>.</w:t>
      </w:r>
      <w:proofErr w:type="gramEnd"/>
    </w:p>
    <w:p w:rsidR="006B0045" w:rsidRDefault="006B0045" w:rsidP="006B0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Настоящее постановление вступает в силу после его официального опубликования.</w:t>
      </w:r>
    </w:p>
    <w:p w:rsidR="006B0045" w:rsidRDefault="006B0045" w:rsidP="006B0045">
      <w:pPr>
        <w:keepNext/>
        <w:keepLines/>
        <w:ind w:firstLine="709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постановления возложить на заместителя главы администрации </w:t>
      </w:r>
      <w:r w:rsidR="00AD7ECC">
        <w:rPr>
          <w:sz w:val="28"/>
        </w:rPr>
        <w:t>Т.В. Ильину</w:t>
      </w:r>
      <w:r>
        <w:rPr>
          <w:sz w:val="28"/>
        </w:rPr>
        <w:t>.</w:t>
      </w:r>
    </w:p>
    <w:p w:rsidR="006B0045" w:rsidRDefault="006B0045" w:rsidP="006B0045">
      <w:pPr>
        <w:jc w:val="both"/>
        <w:rPr>
          <w:b/>
          <w:sz w:val="28"/>
          <w:szCs w:val="28"/>
        </w:rPr>
      </w:pPr>
    </w:p>
    <w:p w:rsidR="006B0045" w:rsidRDefault="006B0045" w:rsidP="006B0045">
      <w:pPr>
        <w:jc w:val="both"/>
        <w:rPr>
          <w:b/>
          <w:sz w:val="28"/>
          <w:szCs w:val="28"/>
        </w:rPr>
      </w:pPr>
    </w:p>
    <w:p w:rsidR="006B0045" w:rsidRDefault="00AD7ECC" w:rsidP="006B004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00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0045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>О.А. Крюкова</w:t>
      </w:r>
      <w:r w:rsidR="006B0045">
        <w:rPr>
          <w:sz w:val="28"/>
          <w:szCs w:val="28"/>
        </w:rPr>
        <w:t xml:space="preserve">                                               </w:t>
      </w:r>
      <w:bookmarkEnd w:id="2"/>
    </w:p>
    <w:p w:rsidR="006B0045" w:rsidRDefault="006B0045" w:rsidP="006B0045"/>
    <w:p w:rsidR="008C2789" w:rsidRDefault="008C2789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/>
    <w:p w:rsidR="00AD7ECC" w:rsidRDefault="00AD7ECC" w:rsidP="00AD7EC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AD7ECC" w:rsidRDefault="00AD7ECC" w:rsidP="00AD7EC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постановлению администрации</w:t>
      </w:r>
    </w:p>
    <w:p w:rsidR="00AD7ECC" w:rsidRDefault="00AD7ECC" w:rsidP="00AD7EC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МО </w:t>
      </w:r>
      <w:proofErr w:type="spellStart"/>
      <w:r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СП</w:t>
      </w:r>
    </w:p>
    <w:p w:rsidR="00AD7ECC" w:rsidRDefault="00AD7ECC" w:rsidP="00AD7EC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Тосненского района Ленинградской области </w:t>
      </w:r>
    </w:p>
    <w:p w:rsidR="00AD7ECC" w:rsidRDefault="00AD7ECC" w:rsidP="00AD7EC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AD7EC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19</w:t>
      </w:r>
      <w:r w:rsidRPr="00AD7ECC">
        <w:rPr>
          <w:rFonts w:eastAsiaTheme="minorHAnsi"/>
          <w:sz w:val="28"/>
          <w:szCs w:val="28"/>
          <w:lang w:eastAsia="en-US"/>
        </w:rPr>
        <w:t>.12.20</w:t>
      </w:r>
      <w:r>
        <w:rPr>
          <w:rFonts w:eastAsiaTheme="minorHAnsi"/>
          <w:sz w:val="28"/>
          <w:szCs w:val="28"/>
          <w:lang w:eastAsia="en-US"/>
        </w:rPr>
        <w:t>22</w:t>
      </w:r>
      <w:r w:rsidRPr="00AD7ECC">
        <w:rPr>
          <w:rFonts w:eastAsiaTheme="minorHAnsi"/>
          <w:sz w:val="28"/>
          <w:szCs w:val="28"/>
          <w:lang w:eastAsia="en-US"/>
        </w:rPr>
        <w:t xml:space="preserve"> г. № </w:t>
      </w:r>
      <w:r>
        <w:rPr>
          <w:rFonts w:eastAsiaTheme="minorHAnsi"/>
          <w:sz w:val="28"/>
          <w:szCs w:val="28"/>
          <w:lang w:eastAsia="en-US"/>
        </w:rPr>
        <w:t>260</w:t>
      </w:r>
      <w:bookmarkStart w:id="3" w:name="_GoBack"/>
      <w:bookmarkEnd w:id="3"/>
    </w:p>
    <w:p w:rsidR="00AD7ECC" w:rsidRDefault="00AD7ECC" w:rsidP="00AD7EC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(форма)</w:t>
      </w:r>
    </w:p>
    <w:p w:rsidR="00AD7ECC" w:rsidRDefault="00AD7ECC" w:rsidP="00AD7E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7ECC" w:rsidRDefault="00AD7ECC" w:rsidP="00AD7E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</w:t>
      </w:r>
    </w:p>
    <w:p w:rsidR="00AD7ECC" w:rsidRDefault="00AD7ECC" w:rsidP="00AD7E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результатах контрольной деятельности органа внутреннего</w:t>
      </w:r>
    </w:p>
    <w:p w:rsidR="00AD7ECC" w:rsidRDefault="00AD7ECC" w:rsidP="00AD7E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государственного (муниципального) финансового контроля</w:t>
      </w:r>
    </w:p>
    <w:p w:rsidR="00AD7ECC" w:rsidRDefault="00AD7ECC" w:rsidP="00AD7E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7ECC" w:rsidRDefault="00AD7ECC" w:rsidP="00AD7E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1 ______________ 20__ г.</w:t>
      </w:r>
    </w:p>
    <w:p w:rsidR="00AD7ECC" w:rsidRDefault="00AD7ECC" w:rsidP="00AD7E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AD7ECC">
        <w:tc>
          <w:tcPr>
            <w:tcW w:w="2269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96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КОДЫ</w:t>
            </w:r>
          </w:p>
        </w:tc>
      </w:tr>
      <w:tr w:rsidR="00AD7ECC">
        <w:tc>
          <w:tcPr>
            <w:tcW w:w="2269" w:type="dxa"/>
          </w:tcPr>
          <w:p w:rsidR="00AD7ECC" w:rsidRDefault="00AD7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265" w:type="dxa"/>
            <w:gridSpan w:val="2"/>
          </w:tcPr>
          <w:p w:rsidR="00AD7ECC" w:rsidRDefault="00AD7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AD7ECC" w:rsidRDefault="00AD7E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265" w:type="dxa"/>
            <w:gridSpan w:val="2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AD7ECC" w:rsidRDefault="00AD7E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 </w:t>
            </w:r>
            <w:hyperlink r:id="rId5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2269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96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2269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96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AD7ECC" w:rsidRDefault="00AD7E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6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384</w:t>
              </w:r>
            </w:hyperlink>
          </w:p>
        </w:tc>
      </w:tr>
    </w:tbl>
    <w:p w:rsidR="00AD7ECC" w:rsidRDefault="00AD7ECC" w:rsidP="00AD7E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AD7ECC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AD7ECC">
        <w:tc>
          <w:tcPr>
            <w:tcW w:w="6345" w:type="dxa"/>
            <w:tcBorders>
              <w:top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4" w:name="Par42"/>
            <w:bookmarkEnd w:id="4"/>
            <w:r>
              <w:rPr>
                <w:rFonts w:eastAsiaTheme="minorHAnsi"/>
                <w:sz w:val="28"/>
                <w:szCs w:val="28"/>
                <w:lang w:eastAsia="en-US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 них:</w:t>
            </w:r>
          </w:p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010/1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010/2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Объем проверенных средств при осуществлении контроля в сфере закупок, предусмотренного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строки 010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011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5" w:name="Par55"/>
            <w:bookmarkEnd w:id="5"/>
            <w:r>
              <w:rPr>
                <w:rFonts w:eastAsiaTheme="minorHAnsi"/>
                <w:sz w:val="28"/>
                <w:szCs w:val="28"/>
                <w:lang w:eastAsia="en-US"/>
              </w:rPr>
              <w:t>020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 них:</w:t>
            </w:r>
          </w:p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020/1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020/2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55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строки 020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021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030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031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внеплановые ревизии и проверки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032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" w:name="Par78"/>
            <w:bookmarkEnd w:id="6"/>
            <w:r>
              <w:rPr>
                <w:rFonts w:eastAsiaTheme="minorHAnsi"/>
                <w:sz w:val="28"/>
                <w:szCs w:val="28"/>
                <w:lang w:eastAsia="en-US"/>
              </w:rPr>
              <w:t>040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78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строки 040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041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7" w:name="Par84"/>
            <w:bookmarkEnd w:id="7"/>
            <w:r>
              <w:rPr>
                <w:rFonts w:eastAsiaTheme="minorHAnsi"/>
                <w:sz w:val="28"/>
                <w:szCs w:val="28"/>
                <w:lang w:eastAsia="en-US"/>
              </w:rPr>
              <w:t>050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84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строки 050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051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060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061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6345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внеплановые обследования</w:t>
            </w:r>
          </w:p>
        </w:tc>
        <w:tc>
          <w:tcPr>
            <w:tcW w:w="1191" w:type="dxa"/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062</w:t>
            </w:r>
          </w:p>
        </w:tc>
        <w:tc>
          <w:tcPr>
            <w:tcW w:w="1474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D7ECC" w:rsidRDefault="00AD7ECC" w:rsidP="00AD7E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AD7ECC">
        <w:tc>
          <w:tcPr>
            <w:tcW w:w="4309" w:type="dxa"/>
          </w:tcPr>
          <w:p w:rsidR="00AD7ECC" w:rsidRDefault="00AD7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органа контроля</w:t>
            </w:r>
          </w:p>
          <w:p w:rsidR="00AD7ECC" w:rsidRDefault="00AD7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7ECC">
        <w:tc>
          <w:tcPr>
            <w:tcW w:w="4309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D7ECC" w:rsidRDefault="00AD7EC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AD7ECC" w:rsidRDefault="00AD7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(фамилия, имя, отчество (при наличии)</w:t>
            </w:r>
          </w:p>
        </w:tc>
      </w:tr>
    </w:tbl>
    <w:p w:rsidR="00AD7ECC" w:rsidRDefault="00AD7ECC" w:rsidP="00AD7E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7ECC" w:rsidRDefault="00AD7ECC"/>
    <w:sectPr w:rsidR="00AD7ECC" w:rsidSect="001E31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45"/>
    <w:rsid w:val="00341865"/>
    <w:rsid w:val="006B0045"/>
    <w:rsid w:val="008C2789"/>
    <w:rsid w:val="00A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822A"/>
  <w15:chartTrackingRefBased/>
  <w15:docId w15:val="{51F408F0-D907-4FC1-BB9B-B0794399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0045"/>
    <w:rPr>
      <w:color w:val="0000FF"/>
      <w:u w:val="single"/>
    </w:rPr>
  </w:style>
  <w:style w:type="paragraph" w:customStyle="1" w:styleId="ConsPlusNonformat">
    <w:name w:val="ConsPlusNonformat"/>
    <w:uiPriority w:val="99"/>
    <w:rsid w:val="006B0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D7CE888BB6C1DFD0A61F79013F94A6230D63C92131EAC212F2E22231E0F8A62A20DC7901E45931E50C686B63EF695BED209BE726BBA0620i0O" TargetMode="External"/><Relationship Id="rId5" Type="http://schemas.openxmlformats.org/officeDocument/2006/relationships/hyperlink" Target="consultantplus://offline/ref=B1BD7CE888BB6C1DFD0A61F79013F94A6736D73C96141EAC212F2E22231E0F8A70A255CB921E52901C4590D7F026i9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 </cp:lastModifiedBy>
  <cp:revision>1</cp:revision>
  <dcterms:created xsi:type="dcterms:W3CDTF">2022-12-21T14:02:00Z</dcterms:created>
  <dcterms:modified xsi:type="dcterms:W3CDTF">2022-12-21T14:39:00Z</dcterms:modified>
</cp:coreProperties>
</file>