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18" w:rsidRPr="00122418" w:rsidRDefault="00420448" w:rsidP="00122418">
      <w:pPr>
        <w:suppressAutoHyphens/>
        <w:spacing w:after="200" w:line="276" w:lineRule="auto"/>
        <w:jc w:val="right"/>
        <w:rPr>
          <w:rFonts w:eastAsia="Calibri"/>
          <w:b/>
          <w:noProof/>
          <w:sz w:val="28"/>
          <w:szCs w:val="28"/>
        </w:rPr>
      </w:pPr>
      <w:r w:rsidRPr="00122418">
        <w:rPr>
          <w:rFonts w:eastAsia="Calibri"/>
          <w:sz w:val="22"/>
          <w:szCs w:val="22"/>
          <w:lang w:eastAsia="ar-SA"/>
        </w:rPr>
        <w:t xml:space="preserve">   </w:t>
      </w:r>
    </w:p>
    <w:p w:rsidR="00420448" w:rsidRPr="00EE1777" w:rsidRDefault="00420448" w:rsidP="00420448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008A83BC" wp14:editId="5CEC659D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420448" w:rsidRPr="00EE1777" w:rsidRDefault="00420448" w:rsidP="00420448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П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420448" w:rsidRPr="00EE1777" w:rsidRDefault="00420448" w:rsidP="00420448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20448" w:rsidRPr="00EE1777" w:rsidRDefault="00EE3D09" w:rsidP="00420448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12 сентября </w:t>
      </w:r>
      <w:r w:rsidR="00420448" w:rsidRPr="00EE1777">
        <w:rPr>
          <w:rFonts w:eastAsia="Calibri"/>
          <w:sz w:val="28"/>
          <w:szCs w:val="28"/>
          <w:lang w:eastAsia="ar-SA"/>
        </w:rPr>
        <w:t>201</w:t>
      </w:r>
      <w:r w:rsidR="00CD72F5">
        <w:rPr>
          <w:rFonts w:eastAsia="Calibri"/>
          <w:sz w:val="28"/>
          <w:szCs w:val="28"/>
          <w:lang w:eastAsia="ar-SA"/>
        </w:rPr>
        <w:t>9</w:t>
      </w:r>
      <w:r w:rsidR="00420448" w:rsidRPr="00EE1777">
        <w:rPr>
          <w:rFonts w:eastAsia="Calibri"/>
          <w:sz w:val="28"/>
          <w:szCs w:val="28"/>
          <w:lang w:eastAsia="ar-SA"/>
        </w:rPr>
        <w:t xml:space="preserve"> г.                              </w:t>
      </w:r>
      <w:r w:rsidR="00103E79">
        <w:rPr>
          <w:rFonts w:eastAsia="Calibri"/>
          <w:sz w:val="28"/>
          <w:szCs w:val="28"/>
          <w:lang w:eastAsia="ar-SA"/>
        </w:rPr>
        <w:t xml:space="preserve">                             </w:t>
      </w:r>
      <w:r w:rsidR="00420448">
        <w:rPr>
          <w:rFonts w:eastAsia="Calibri"/>
          <w:sz w:val="28"/>
          <w:szCs w:val="28"/>
          <w:lang w:eastAsia="ar-SA"/>
        </w:rPr>
        <w:t xml:space="preserve">    </w:t>
      </w:r>
      <w:r w:rsidR="00420448" w:rsidRPr="00EE1777">
        <w:rPr>
          <w:rFonts w:eastAsia="Calibri"/>
          <w:sz w:val="28"/>
          <w:szCs w:val="28"/>
          <w:lang w:eastAsia="ar-SA"/>
        </w:rPr>
        <w:t xml:space="preserve">          </w:t>
      </w:r>
      <w:r w:rsidR="00420448">
        <w:rPr>
          <w:rFonts w:eastAsia="Calibri"/>
          <w:sz w:val="28"/>
          <w:szCs w:val="28"/>
          <w:lang w:eastAsia="ar-SA"/>
        </w:rPr>
        <w:t xml:space="preserve">          </w:t>
      </w:r>
      <w:r w:rsidR="00420448"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197</w:t>
      </w:r>
    </w:p>
    <w:p w:rsidR="00420448" w:rsidRPr="00EE1777" w:rsidRDefault="00420448" w:rsidP="0042044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420448" w:rsidRPr="00420448" w:rsidTr="00AD46ED">
        <w:tc>
          <w:tcPr>
            <w:tcW w:w="6062" w:type="dxa"/>
          </w:tcPr>
          <w:p w:rsidR="00420448" w:rsidRPr="00420448" w:rsidRDefault="00420448" w:rsidP="005572A5">
            <w:pPr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>О</w:t>
            </w:r>
            <w:r w:rsidR="005572A5">
              <w:rPr>
                <w:b/>
                <w:sz w:val="28"/>
                <w:szCs w:val="28"/>
              </w:rPr>
              <w:t>б</w:t>
            </w:r>
            <w:r w:rsidRPr="0042044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572A5">
              <w:rPr>
                <w:b/>
                <w:sz w:val="28"/>
                <w:szCs w:val="28"/>
              </w:rPr>
              <w:t xml:space="preserve">отмене </w:t>
            </w:r>
            <w:r w:rsidRPr="004204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420448">
              <w:rPr>
                <w:b/>
                <w:sz w:val="28"/>
                <w:szCs w:val="28"/>
              </w:rPr>
              <w:t>дминистративн</w:t>
            </w:r>
            <w:r w:rsidR="005572A5">
              <w:rPr>
                <w:b/>
                <w:sz w:val="28"/>
                <w:szCs w:val="28"/>
              </w:rPr>
              <w:t>ого</w:t>
            </w:r>
            <w:proofErr w:type="gramEnd"/>
            <w:r w:rsidRPr="00420448">
              <w:rPr>
                <w:b/>
                <w:sz w:val="28"/>
                <w:szCs w:val="28"/>
              </w:rPr>
              <w:t xml:space="preserve"> регламент</w:t>
            </w:r>
            <w:r w:rsidR="005572A5">
              <w:rPr>
                <w:b/>
                <w:sz w:val="28"/>
                <w:szCs w:val="28"/>
              </w:rPr>
              <w:t>а</w:t>
            </w:r>
            <w:r w:rsidRPr="00420448">
              <w:rPr>
                <w:b/>
                <w:sz w:val="28"/>
                <w:szCs w:val="28"/>
              </w:rPr>
              <w:t xml:space="preserve"> предоставления муниципальной услуги </w:t>
            </w:r>
            <w:r w:rsidR="005572A5">
              <w:rPr>
                <w:b/>
                <w:sz w:val="28"/>
                <w:szCs w:val="28"/>
              </w:rPr>
              <w:t>«П</w:t>
            </w:r>
            <w:r>
              <w:rPr>
                <w:b/>
                <w:sz w:val="28"/>
                <w:szCs w:val="28"/>
              </w:rPr>
              <w:t>риватизаци</w:t>
            </w:r>
            <w:r w:rsidR="005572A5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муниципального имущества </w:t>
            </w:r>
            <w:r w:rsidRPr="00420448">
              <w:rPr>
                <w:b/>
                <w:sz w:val="28"/>
                <w:szCs w:val="28"/>
              </w:rPr>
              <w:t>Тельмановско</w:t>
            </w:r>
            <w:r>
              <w:rPr>
                <w:b/>
                <w:sz w:val="28"/>
                <w:szCs w:val="28"/>
              </w:rPr>
              <w:t>го</w:t>
            </w:r>
            <w:r w:rsidRPr="00420448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>го</w:t>
            </w:r>
            <w:r w:rsidRPr="00420448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420448">
              <w:rPr>
                <w:b/>
                <w:sz w:val="28"/>
                <w:szCs w:val="28"/>
              </w:rPr>
              <w:t xml:space="preserve"> Тосненского района Ленинградской области</w:t>
            </w:r>
            <w:r w:rsidRPr="0042044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420448">
              <w:rPr>
                <w:b/>
                <w:sz w:val="28"/>
                <w:szCs w:val="28"/>
              </w:rPr>
              <w:t>, утвержденн</w:t>
            </w:r>
            <w:r w:rsidR="005572A5">
              <w:rPr>
                <w:b/>
                <w:sz w:val="28"/>
                <w:szCs w:val="28"/>
              </w:rPr>
              <w:t>ого</w:t>
            </w:r>
            <w:r w:rsidRPr="00420448">
              <w:rPr>
                <w:b/>
                <w:sz w:val="28"/>
                <w:szCs w:val="28"/>
              </w:rPr>
              <w:t xml:space="preserve"> постановлением администрации МО Тельмановское СП Тосненского района Ленинградской области от </w:t>
            </w:r>
            <w:r>
              <w:rPr>
                <w:b/>
                <w:sz w:val="28"/>
                <w:szCs w:val="28"/>
              </w:rPr>
              <w:t>13</w:t>
            </w:r>
            <w:r w:rsidRPr="0042044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420448">
              <w:rPr>
                <w:b/>
                <w:sz w:val="28"/>
                <w:szCs w:val="28"/>
              </w:rPr>
              <w:t xml:space="preserve">.2015 г.  № </w:t>
            </w:r>
            <w:r>
              <w:rPr>
                <w:b/>
                <w:sz w:val="28"/>
                <w:szCs w:val="28"/>
              </w:rPr>
              <w:t>8</w:t>
            </w:r>
            <w:r w:rsidRPr="004204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:rsidR="00420448" w:rsidRPr="00420448" w:rsidRDefault="00420448" w:rsidP="00420448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420448" w:rsidRDefault="00420448" w:rsidP="004204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0448" w:rsidRPr="00EE1777" w:rsidRDefault="005572A5" w:rsidP="00CD72F5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5572A5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5572A5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</w:t>
      </w:r>
      <w:r w:rsidR="00CD72F5" w:rsidRPr="00CD72F5">
        <w:rPr>
          <w:rFonts w:eastAsiaTheme="minorHAnsi"/>
          <w:sz w:val="28"/>
          <w:szCs w:val="28"/>
          <w:lang w:eastAsia="en-US"/>
        </w:rPr>
        <w:t>от 29.12.2018 N 745-р "О внесении изменений в распоряжение Правительства Ленинградской области от 28 декабря 2015 года N 585-р"</w:t>
      </w:r>
      <w:r w:rsidR="00CD72F5">
        <w:rPr>
          <w:rFonts w:eastAsiaTheme="minorHAnsi"/>
          <w:sz w:val="28"/>
          <w:szCs w:val="28"/>
          <w:lang w:eastAsia="en-US"/>
        </w:rPr>
        <w:t xml:space="preserve"> </w:t>
      </w:r>
      <w:r w:rsidRPr="005572A5">
        <w:rPr>
          <w:rFonts w:eastAsiaTheme="minorHAnsi"/>
          <w:sz w:val="28"/>
          <w:szCs w:val="28"/>
          <w:lang w:eastAsia="en-US"/>
        </w:rPr>
        <w:t>от 28.12.2015 N 585-р</w:t>
      </w:r>
      <w:r w:rsidR="00CD72F5">
        <w:rPr>
          <w:rFonts w:eastAsiaTheme="minorHAnsi"/>
          <w:sz w:val="28"/>
          <w:szCs w:val="28"/>
          <w:lang w:eastAsia="en-US"/>
        </w:rPr>
        <w:t>, а</w:t>
      </w:r>
      <w:r w:rsidR="00420448">
        <w:rPr>
          <w:rFonts w:eastAsia="Calibri"/>
          <w:sz w:val="28"/>
          <w:szCs w:val="28"/>
          <w:lang w:eastAsia="ar-SA"/>
        </w:rPr>
        <w:t>дминистрация муниципального образования Тельмановское сельское поселение Тосненского района Ленинградской области</w:t>
      </w:r>
    </w:p>
    <w:p w:rsidR="00420448" w:rsidRPr="000E6940" w:rsidRDefault="005572A5" w:rsidP="00103E79">
      <w:pPr>
        <w:spacing w:after="1" w:line="280" w:lineRule="atLeast"/>
        <w:rPr>
          <w:rFonts w:eastAsia="Calibri"/>
          <w:b/>
          <w:sz w:val="28"/>
          <w:szCs w:val="28"/>
          <w:lang w:eastAsia="ar-SA"/>
        </w:rPr>
      </w:pPr>
      <w:r>
        <w:rPr>
          <w:sz w:val="28"/>
        </w:rPr>
        <w:br/>
      </w:r>
      <w:r w:rsidR="00420448"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420448" w:rsidRPr="00EE1777" w:rsidRDefault="00420448" w:rsidP="00420448">
      <w:pPr>
        <w:ind w:firstLine="567"/>
        <w:jc w:val="both"/>
        <w:rPr>
          <w:b/>
          <w:color w:val="FF0000"/>
          <w:sz w:val="28"/>
          <w:szCs w:val="28"/>
        </w:rPr>
      </w:pPr>
    </w:p>
    <w:p w:rsidR="005616A1" w:rsidRPr="005616A1" w:rsidRDefault="00420448" w:rsidP="00103E79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</w:t>
      </w:r>
      <w:r w:rsidR="00103E79">
        <w:rPr>
          <w:sz w:val="28"/>
          <w:szCs w:val="28"/>
        </w:rPr>
        <w:t xml:space="preserve">Отменить </w:t>
      </w:r>
      <w:r w:rsidRPr="00420448">
        <w:rPr>
          <w:sz w:val="28"/>
          <w:szCs w:val="28"/>
        </w:rPr>
        <w:t xml:space="preserve">Административный регламент предоставления муниципальной услуги по приватизации муниципального имущества </w:t>
      </w:r>
      <w:r w:rsidR="00734037" w:rsidRPr="00420448">
        <w:rPr>
          <w:sz w:val="28"/>
          <w:szCs w:val="28"/>
        </w:rPr>
        <w:t xml:space="preserve">муниципального образования </w:t>
      </w:r>
      <w:r w:rsidRPr="00420448">
        <w:rPr>
          <w:sz w:val="28"/>
          <w:szCs w:val="28"/>
        </w:rPr>
        <w:t>Тельмановско</w:t>
      </w:r>
      <w:r w:rsidR="00734037">
        <w:rPr>
          <w:sz w:val="28"/>
          <w:szCs w:val="28"/>
        </w:rPr>
        <w:t>е</w:t>
      </w:r>
      <w:r w:rsidRPr="00420448">
        <w:rPr>
          <w:sz w:val="28"/>
          <w:szCs w:val="28"/>
        </w:rPr>
        <w:t xml:space="preserve"> сельско</w:t>
      </w:r>
      <w:r w:rsidR="00734037">
        <w:rPr>
          <w:sz w:val="28"/>
          <w:szCs w:val="28"/>
        </w:rPr>
        <w:t>е</w:t>
      </w:r>
      <w:r w:rsidRPr="00420448">
        <w:rPr>
          <w:sz w:val="28"/>
          <w:szCs w:val="28"/>
        </w:rPr>
        <w:t xml:space="preserve"> поселени</w:t>
      </w:r>
      <w:r w:rsidR="00734037">
        <w:rPr>
          <w:sz w:val="28"/>
          <w:szCs w:val="28"/>
        </w:rPr>
        <w:t>е</w:t>
      </w:r>
      <w:r w:rsidRPr="00420448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>,</w:t>
      </w:r>
      <w:r w:rsidRPr="00420448">
        <w:rPr>
          <w:sz w:val="28"/>
          <w:szCs w:val="28"/>
        </w:rPr>
        <w:t xml:space="preserve">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sz w:val="28"/>
          <w:szCs w:val="28"/>
        </w:rPr>
        <w:t>13</w:t>
      </w:r>
      <w:r w:rsidRPr="0042044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20448">
        <w:rPr>
          <w:sz w:val="28"/>
          <w:szCs w:val="28"/>
        </w:rPr>
        <w:t xml:space="preserve">.2015 г.  № </w:t>
      </w:r>
      <w:r>
        <w:rPr>
          <w:sz w:val="28"/>
          <w:szCs w:val="28"/>
        </w:rPr>
        <w:t>8</w:t>
      </w:r>
      <w:r w:rsidRPr="00420448">
        <w:rPr>
          <w:sz w:val="28"/>
          <w:szCs w:val="28"/>
        </w:rPr>
        <w:t xml:space="preserve">2 </w:t>
      </w:r>
    </w:p>
    <w:p w:rsidR="005616A1" w:rsidRPr="005616A1" w:rsidRDefault="00043EFB" w:rsidP="00561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="005616A1" w:rsidRPr="005616A1">
        <w:rPr>
          <w:sz w:val="28"/>
          <w:szCs w:val="28"/>
        </w:rPr>
        <w:t>вступает в силу после его официального опубликования.</w:t>
      </w:r>
    </w:p>
    <w:p w:rsidR="00420448" w:rsidRDefault="00043EFB" w:rsidP="00420448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20448">
        <w:rPr>
          <w:color w:val="000000"/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:rsidR="00420448" w:rsidRDefault="00420448" w:rsidP="00420448">
      <w:pPr>
        <w:suppressAutoHyphens/>
        <w:ind w:firstLine="567"/>
        <w:jc w:val="both"/>
        <w:rPr>
          <w:sz w:val="28"/>
          <w:szCs w:val="28"/>
        </w:rPr>
      </w:pPr>
    </w:p>
    <w:p w:rsidR="00EE3D09" w:rsidRDefault="00EE3D09" w:rsidP="00420448">
      <w:pPr>
        <w:suppressAutoHyphens/>
        <w:ind w:firstLine="567"/>
        <w:jc w:val="both"/>
        <w:rPr>
          <w:sz w:val="28"/>
          <w:szCs w:val="28"/>
        </w:rPr>
      </w:pPr>
    </w:p>
    <w:p w:rsidR="00EE3D09" w:rsidRDefault="00EE3D09" w:rsidP="00420448">
      <w:pPr>
        <w:suppressAutoHyphens/>
        <w:ind w:firstLine="567"/>
        <w:jc w:val="both"/>
        <w:rPr>
          <w:sz w:val="28"/>
          <w:szCs w:val="28"/>
        </w:rPr>
      </w:pPr>
    </w:p>
    <w:p w:rsidR="00420448" w:rsidRDefault="0095629A" w:rsidP="00103E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183DD3">
        <w:rPr>
          <w:sz w:val="28"/>
          <w:szCs w:val="28"/>
        </w:rPr>
        <w:t xml:space="preserve"> </w:t>
      </w:r>
      <w:r w:rsidR="00420448" w:rsidRPr="00EE1777">
        <w:rPr>
          <w:sz w:val="28"/>
          <w:szCs w:val="28"/>
        </w:rPr>
        <w:t xml:space="preserve"> администрации</w:t>
      </w:r>
      <w:proofErr w:type="gramEnd"/>
      <w:r w:rsidR="00420448" w:rsidRPr="00EE177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С.А.Приходько</w:t>
      </w:r>
      <w:bookmarkStart w:id="0" w:name="_GoBack"/>
      <w:bookmarkEnd w:id="0"/>
    </w:p>
    <w:p w:rsidR="00122418" w:rsidRDefault="00122418" w:rsidP="00103E79">
      <w:pPr>
        <w:jc w:val="both"/>
        <w:rPr>
          <w:sz w:val="28"/>
          <w:szCs w:val="28"/>
        </w:rPr>
      </w:pPr>
    </w:p>
    <w:p w:rsidR="00122418" w:rsidRDefault="00122418" w:rsidP="00103E79">
      <w:pPr>
        <w:jc w:val="both"/>
        <w:rPr>
          <w:szCs w:val="24"/>
          <w:bdr w:val="none" w:sz="0" w:space="0" w:color="auto" w:frame="1"/>
        </w:rPr>
      </w:pPr>
    </w:p>
    <w:sectPr w:rsidR="00122418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48"/>
    <w:rsid w:val="00043EFB"/>
    <w:rsid w:val="00103E79"/>
    <w:rsid w:val="00122418"/>
    <w:rsid w:val="00183DD3"/>
    <w:rsid w:val="00275706"/>
    <w:rsid w:val="00332B37"/>
    <w:rsid w:val="00420448"/>
    <w:rsid w:val="005572A5"/>
    <w:rsid w:val="005616A1"/>
    <w:rsid w:val="006474A0"/>
    <w:rsid w:val="00734037"/>
    <w:rsid w:val="0095629A"/>
    <w:rsid w:val="00CD72F5"/>
    <w:rsid w:val="00D40622"/>
    <w:rsid w:val="00E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F2E"/>
  <w15:docId w15:val="{3B1ABD5C-1869-4C7A-A127-94499ED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6">
    <w:name w:val="p6"/>
    <w:basedOn w:val="a"/>
    <w:rsid w:val="00420448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42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2019-09-23T12:28:00Z</cp:lastPrinted>
  <dcterms:created xsi:type="dcterms:W3CDTF">2018-05-10T12:23:00Z</dcterms:created>
  <dcterms:modified xsi:type="dcterms:W3CDTF">2019-10-03T07:36:00Z</dcterms:modified>
</cp:coreProperties>
</file>