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70" w:rsidRPr="00CE1D12" w:rsidRDefault="00002F70" w:rsidP="00002F70">
      <w:pPr>
        <w:suppressAutoHyphens/>
        <w:jc w:val="center"/>
        <w:rPr>
          <w:rFonts w:ascii="Calibri" w:eastAsia="Calibri" w:hAnsi="Calibri" w:cs="Times New Roman"/>
          <w:lang w:eastAsia="ar-SA"/>
        </w:rPr>
      </w:pPr>
      <w:r w:rsidRPr="00CE1D12">
        <w:rPr>
          <w:rFonts w:ascii="Calibri" w:eastAsia="Calibri" w:hAnsi="Calibri" w:cs="Times New Roman"/>
          <w:lang w:eastAsia="ar-SA"/>
        </w:rPr>
        <w:t xml:space="preserve">         </w:t>
      </w:r>
      <w:r w:rsidRPr="00CE1D12">
        <w:rPr>
          <w:rFonts w:ascii="Calibri" w:eastAsia="Calibri" w:hAnsi="Calibri" w:cs="Times New Roman"/>
          <w:b/>
          <w:noProof/>
          <w:szCs w:val="24"/>
          <w:lang w:eastAsia="ru-RU"/>
        </w:rPr>
        <w:drawing>
          <wp:inline distT="0" distB="0" distL="0" distR="0" wp14:anchorId="4752ECC9" wp14:editId="5352B17C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D12">
        <w:rPr>
          <w:rFonts w:ascii="Calibri" w:eastAsia="Calibri" w:hAnsi="Calibri" w:cs="Times New Roman"/>
          <w:lang w:eastAsia="ar-SA"/>
        </w:rPr>
        <w:t xml:space="preserve">                                                                                                        </w:t>
      </w:r>
    </w:p>
    <w:p w:rsidR="00002F70" w:rsidRPr="00CE1D12" w:rsidRDefault="00002F70" w:rsidP="00002F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</w:t>
      </w:r>
    </w:p>
    <w:p w:rsidR="00002F70" w:rsidRPr="00CE1D12" w:rsidRDefault="00002F70" w:rsidP="00002F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:rsidR="00002F70" w:rsidRPr="00CE1D12" w:rsidRDefault="00002F70" w:rsidP="00002F70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Тельмановское</w:t>
      </w:r>
      <w:proofErr w:type="spellEnd"/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района Ленинградской области</w:t>
      </w:r>
    </w:p>
    <w:p w:rsidR="00002F70" w:rsidRPr="00CE1D12" w:rsidRDefault="00002F70" w:rsidP="00002F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02F70" w:rsidRPr="00CE1D12" w:rsidRDefault="00002F70" w:rsidP="00002F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 w:rsidRPr="00CE1D12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ПОСТАНОВЛЕНИЕ</w:t>
      </w:r>
    </w:p>
    <w:p w:rsidR="00002F70" w:rsidRPr="00CE1D12" w:rsidRDefault="00002F70" w:rsidP="00002F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02F70" w:rsidRPr="00002F70" w:rsidRDefault="00002F70" w:rsidP="00002F7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декабря</w:t>
      </w:r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2018 г.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 w:rsidRPr="00002F70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</w:p>
    <w:p w:rsidR="00002F70" w:rsidRPr="00CE1D12" w:rsidRDefault="00002F70" w:rsidP="00002F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02F70" w:rsidRPr="00002F70" w:rsidRDefault="00002F70" w:rsidP="00002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</w:t>
      </w:r>
      <w:proofErr w:type="gramStart"/>
      <w:r w:rsidRPr="00002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инвестиционной</w:t>
      </w:r>
      <w:proofErr w:type="gramEnd"/>
      <w:r w:rsidRPr="00002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2F70" w:rsidRPr="00002F70" w:rsidRDefault="00002F70" w:rsidP="00002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Тельмановского</w:t>
      </w:r>
      <w:proofErr w:type="spellEnd"/>
      <w:r w:rsidRPr="00002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02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002F70" w:rsidRPr="00002F70" w:rsidRDefault="00002F70" w:rsidP="00002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Pr="00002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002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области,</w:t>
      </w:r>
    </w:p>
    <w:p w:rsidR="00002F70" w:rsidRDefault="00002F70" w:rsidP="00002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02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осуществляемой в форме капитальных вложений</w:t>
      </w:r>
      <w:r w:rsidRPr="00002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002F70" w:rsidRPr="00CE1D12" w:rsidRDefault="00002F70" w:rsidP="0000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02F70" w:rsidRDefault="00002F70" w:rsidP="00002F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февраля 1999 года N 39-ФЗ «Об инвестиционной деятельности в Российской Федерации, осуществляемой в форме капитальных вложений»,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</w:t>
      </w:r>
    </w:p>
    <w:p w:rsidR="00002F70" w:rsidRPr="00CE1D12" w:rsidRDefault="00002F70" w:rsidP="00002F7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</w:t>
      </w:r>
      <w:proofErr w:type="spellStart"/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>Тельмановское</w:t>
      </w:r>
      <w:proofErr w:type="spellEnd"/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сельское поселение </w:t>
      </w:r>
      <w:proofErr w:type="spellStart"/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>Тосненского</w:t>
      </w:r>
      <w:proofErr w:type="spellEnd"/>
      <w:r w:rsidRPr="00CE1D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Ленинградской области</w:t>
      </w:r>
    </w:p>
    <w:p w:rsidR="00002F70" w:rsidRPr="00CE1D12" w:rsidRDefault="00002F70" w:rsidP="00002F7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02F70" w:rsidRDefault="00002F70" w:rsidP="00002F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E1D1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ПОСТАНОВЛЯЕТ</w:t>
      </w:r>
    </w:p>
    <w:p w:rsidR="00002F70" w:rsidRPr="00CE1D12" w:rsidRDefault="00002F70" w:rsidP="00002F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02F70" w:rsidRPr="00AA1C7E" w:rsidRDefault="00002F70" w:rsidP="00002F7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02F70">
        <w:rPr>
          <w:rFonts w:ascii="Times New Roman" w:hAnsi="Times New Roman"/>
          <w:sz w:val="28"/>
          <w:szCs w:val="28"/>
        </w:rPr>
        <w:t xml:space="preserve">Утвердить Положение об инвестиционной деятельности на территории  </w:t>
      </w:r>
      <w:proofErr w:type="spellStart"/>
      <w:r w:rsidRPr="00002F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02F7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02F7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002F70">
        <w:rPr>
          <w:rFonts w:ascii="Times New Roman" w:hAnsi="Times New Roman"/>
          <w:sz w:val="28"/>
          <w:szCs w:val="28"/>
        </w:rPr>
        <w:t xml:space="preserve"> района Ленинградской области, осуществляемой в форме капитальных вложений,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C7E">
        <w:rPr>
          <w:rFonts w:ascii="Times New Roman" w:hAnsi="Times New Roman"/>
          <w:sz w:val="28"/>
          <w:szCs w:val="28"/>
        </w:rPr>
        <w:t xml:space="preserve">1. </w:t>
      </w:r>
    </w:p>
    <w:p w:rsidR="00002F70" w:rsidRDefault="00002F70" w:rsidP="0000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7D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002F70" w:rsidRDefault="00002F70" w:rsidP="0000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70" w:rsidRPr="00C05159" w:rsidRDefault="00002F70" w:rsidP="0000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51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Крюкову О.А.</w:t>
      </w:r>
    </w:p>
    <w:p w:rsidR="00002F70" w:rsidRDefault="00002F70" w:rsidP="0000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70" w:rsidRPr="00C05159" w:rsidRDefault="00002F70" w:rsidP="0000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70" w:rsidRPr="00017D8A" w:rsidRDefault="00002F70" w:rsidP="0000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0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С.А. Приходько</w:t>
      </w:r>
    </w:p>
    <w:p w:rsidR="00002F70" w:rsidRDefault="00002F70" w:rsidP="00002F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F70" w:rsidRPr="000C7994" w:rsidRDefault="00002F70" w:rsidP="00002F70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  <w:spacing w:val="-9"/>
        </w:rPr>
        <w:lastRenderedPageBreak/>
        <w:t>Приложение 1</w:t>
      </w:r>
    </w:p>
    <w:p w:rsidR="00002F70" w:rsidRPr="000C7994" w:rsidRDefault="00002F70" w:rsidP="00002F70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pacing w:val="-9"/>
        </w:rPr>
      </w:pPr>
      <w:r w:rsidRPr="000C7994">
        <w:rPr>
          <w:rFonts w:ascii="Times New Roman" w:hAnsi="Times New Roman"/>
          <w:spacing w:val="-9"/>
        </w:rPr>
        <w:t>к постановлению Администрации</w:t>
      </w:r>
    </w:p>
    <w:p w:rsidR="00002F70" w:rsidRPr="000C7994" w:rsidRDefault="00002F70" w:rsidP="00002F70">
      <w:pPr>
        <w:shd w:val="clear" w:color="auto" w:fill="FFFFFF"/>
        <w:spacing w:after="0" w:line="240" w:lineRule="auto"/>
        <w:ind w:left="4962" w:firstLine="14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9"/>
        </w:rPr>
        <w:t>Тельмановского</w:t>
      </w:r>
      <w:proofErr w:type="spellEnd"/>
      <w:r w:rsidRPr="000C7994">
        <w:rPr>
          <w:rFonts w:ascii="Times New Roman" w:hAnsi="Times New Roman"/>
          <w:spacing w:val="-9"/>
        </w:rPr>
        <w:t xml:space="preserve">  сельского поселения</w:t>
      </w:r>
      <w:r w:rsidRPr="000C7994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C7994">
        <w:rPr>
          <w:rFonts w:ascii="Times New Roman" w:eastAsia="Times New Roman" w:hAnsi="Times New Roman"/>
          <w:lang w:eastAsia="ru-RU"/>
        </w:rPr>
        <w:t>Тосненского</w:t>
      </w:r>
      <w:proofErr w:type="spellEnd"/>
      <w:r w:rsidRPr="000C7994">
        <w:rPr>
          <w:rFonts w:ascii="Times New Roman" w:eastAsia="Times New Roman" w:hAnsi="Times New Roman"/>
          <w:lang w:eastAsia="ru-RU"/>
        </w:rPr>
        <w:t xml:space="preserve"> района Ленинградской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C7994">
        <w:rPr>
          <w:rFonts w:ascii="Times New Roman" w:eastAsia="Times New Roman" w:hAnsi="Times New Roman"/>
          <w:lang w:eastAsia="ru-RU"/>
        </w:rPr>
        <w:t>области</w:t>
      </w:r>
    </w:p>
    <w:p w:rsidR="00002F70" w:rsidRPr="000C7994" w:rsidRDefault="00002F70" w:rsidP="00002F70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о</w:t>
      </w:r>
      <w:r w:rsidRPr="000C7994">
        <w:rPr>
          <w:rFonts w:ascii="Times New Roman" w:hAnsi="Times New Roman"/>
          <w:spacing w:val="-6"/>
        </w:rPr>
        <w:t>т</w:t>
      </w:r>
      <w:r>
        <w:rPr>
          <w:rFonts w:ascii="Times New Roman" w:hAnsi="Times New Roman"/>
          <w:spacing w:val="-6"/>
        </w:rPr>
        <w:t xml:space="preserve"> 14.12.</w:t>
      </w:r>
      <w:r w:rsidRPr="000C7994">
        <w:rPr>
          <w:rFonts w:ascii="Times New Roman" w:hAnsi="Times New Roman"/>
          <w:spacing w:val="-6"/>
        </w:rPr>
        <w:t xml:space="preserve"> 2018г. N </w:t>
      </w:r>
      <w:r>
        <w:rPr>
          <w:rFonts w:ascii="Times New Roman" w:hAnsi="Times New Roman"/>
          <w:spacing w:val="-6"/>
        </w:rPr>
        <w:t>238</w:t>
      </w:r>
    </w:p>
    <w:p w:rsidR="00002F70" w:rsidRPr="000C7994" w:rsidRDefault="00002F70" w:rsidP="00002F70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02F70" w:rsidRPr="000C7994" w:rsidRDefault="00002F70" w:rsidP="00002F70">
      <w:pPr>
        <w:shd w:val="clear" w:color="auto" w:fill="FFFFFF"/>
        <w:jc w:val="center"/>
        <w:rPr>
          <w:rFonts w:ascii="Times New Roman" w:hAnsi="Times New Roman"/>
          <w:b/>
          <w:spacing w:val="-3"/>
        </w:rPr>
      </w:pP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ПОЛОЖЕНИЕ</w:t>
      </w:r>
    </w:p>
    <w:p w:rsid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об инвестиционной деятельности на территории  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002F70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Тосненского</w:t>
      </w:r>
      <w:proofErr w:type="spellEnd"/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района Ленинградской области, 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proofErr w:type="gramStart"/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осуществляемой в форме капитальных вложений.</w:t>
      </w:r>
      <w:proofErr w:type="gramEnd"/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  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</w:t>
      </w:r>
      <w:r w:rsidRPr="00002F70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Тосненского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района Ленинградской области (далее – поселение),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1. Основные понятия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proofErr w:type="gramStart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  <w:proofErr w:type="gramEnd"/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капитальные вложения —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proofErr w:type="gramStart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совокупная налоговая нагрузка —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2. Отношения, регулируемые настоящим Положением.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 на территории</w:t>
      </w: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Тосненского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района Ленинградской области.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3. Объекты капитальных вложений.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proofErr w:type="gramStart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Объектом капитальных вложений являются находящиеся в муниципальной собственности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сельского поселения </w:t>
      </w:r>
      <w:proofErr w:type="spellStart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Тосненского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района Ленинградской области различные виды вновь создаваемого и (или) модернизируемого имущества, за изъятиями, устанавливаемыми федеральными законами.</w:t>
      </w:r>
      <w:proofErr w:type="gramEnd"/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</w:t>
      </w:r>
      <w:r w:rsidRPr="00002F70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сельского поселения </w:t>
      </w:r>
      <w:proofErr w:type="spellStart"/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Тосненского</w:t>
      </w:r>
      <w:proofErr w:type="spellEnd"/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района Ленинградской области.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4.1. Регулирование органами местного самоуправления  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 сельского поселения инвестиционной деятельности, осуществляемой в форме капитальных вложений, предусматривает: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1) создание в поселении благоприятных условий для развития инвестиционной деятельности, осуществляемой в форме капитальных вложений, путем: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- установления субъектам инвестиционной деятельности льгот по уплате местных налогов;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- защиты интересов инвесторов;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-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</w:t>
      </w:r>
      <w:r w:rsidRPr="00002F70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сельского поселения </w:t>
      </w:r>
      <w:proofErr w:type="spellStart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Тосненского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района Ленинградской области;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2) прямое участие органов местного самоуправления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сельского поселения </w:t>
      </w:r>
      <w:proofErr w:type="spellStart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Тосненского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района Ленинградской области в инвестиционной деятельности, осуществляемой в форме капитальных вложений, путем: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- разработки, утверждения и финансирования инвестиционных проектов, осуществляемых муниципальным образованием;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- проведения экспертизы инвестиционных проектов в соответствии с законодательством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Российской Федерации;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- выпуска муниципальных займов в соответствии с  законодательством Российской Федерации;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- вовлечения в инвестиционный процесс временно приостановленных и законсервированных строек и объектов, находящихся в муниципальной собственности</w:t>
      </w:r>
      <w:r w:rsidRPr="00002F70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Тосненского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района Ленинградской области.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4.2. Органы местного самоуправления 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Тельмановского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сельского поселения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советом депутатов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сельского поселения </w:t>
      </w:r>
      <w:proofErr w:type="spellStart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Тосненского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района Ленинградской области в соответствии с законодательством Российской Федерации.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4.3. Расходы на финансирование инвестиционной деятельности, осуществляемой в форме капитальных вложений органами местного самоуправления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советом депутатов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сельского поселения </w:t>
      </w:r>
      <w:proofErr w:type="spellStart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Тосненского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района Ленинградской области.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ab/>
        <w:t xml:space="preserve">4.4. В случае участия органов местного самоуправления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сельского поселения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сельского поселения.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4.5. При осуществлении инвестиционной деятельности органы местного самоуправления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сельского поселения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5. Муниципальные гарантии прав субъектов инвестиционной деятельности.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Органы местного самоуправления  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Тельмановского</w:t>
      </w:r>
      <w:proofErr w:type="spellEnd"/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сельского поселения в пределах своих полномочий в соответствии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- обеспечение равных прав при осуществлении инвестиционной деятельности;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- гласность в обсуждении инвестиционных проектов;</w:t>
      </w:r>
    </w:p>
    <w:p w:rsidR="00002F70" w:rsidRPr="00002F70" w:rsidRDefault="00002F70" w:rsidP="00002F70">
      <w:pPr>
        <w:shd w:val="clear" w:color="auto" w:fill="FFFFFF"/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02F7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- стабильность прав субъектов инвестиционной деятельности.</w:t>
      </w:r>
    </w:p>
    <w:p w:rsidR="00002F70" w:rsidRPr="00002F70" w:rsidRDefault="00002F70" w:rsidP="00002F70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70" w:rsidRPr="00002F70" w:rsidRDefault="00002F70" w:rsidP="00002F70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70" w:rsidRPr="00002F70" w:rsidRDefault="00002F70" w:rsidP="00002F70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70" w:rsidRPr="00002F70" w:rsidRDefault="00002F70" w:rsidP="00002F70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70" w:rsidRPr="00002F70" w:rsidRDefault="00002F70" w:rsidP="00002F70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70" w:rsidRPr="00002F70" w:rsidRDefault="00002F70" w:rsidP="00002F70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70" w:rsidRPr="00002F70" w:rsidRDefault="00002F70" w:rsidP="00002F70">
      <w:pPr>
        <w:spacing w:after="0" w:line="240" w:lineRule="auto"/>
        <w:ind w:left="-567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70" w:rsidRPr="00002F70" w:rsidRDefault="00002F70" w:rsidP="00002F70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70" w:rsidRPr="00002F70" w:rsidRDefault="00002F70" w:rsidP="00002F70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70" w:rsidRPr="00002F70" w:rsidRDefault="00002F70" w:rsidP="00002F70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70" w:rsidRPr="00002F70" w:rsidRDefault="00002F70" w:rsidP="00002F70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958" w:rsidRDefault="004D0958"/>
    <w:sectPr w:rsidR="004D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70"/>
    <w:rsid w:val="00002F70"/>
    <w:rsid w:val="004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2018-12-19T13:13:00Z</cp:lastPrinted>
  <dcterms:created xsi:type="dcterms:W3CDTF">2018-12-19T13:06:00Z</dcterms:created>
  <dcterms:modified xsi:type="dcterms:W3CDTF">2018-12-19T13:13:00Z</dcterms:modified>
</cp:coreProperties>
</file>