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88" w:rsidRPr="003A42A8" w:rsidRDefault="00C30EE0" w:rsidP="003A42A8">
      <w:pPr>
        <w:pStyle w:val="FirstParagraph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</w:t>
      </w:r>
    </w:p>
    <w:p w:rsidR="003C3A88" w:rsidRPr="003A42A8" w:rsidRDefault="00C30EE0" w:rsidP="003A42A8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Местная администрация</w:t>
      </w:r>
    </w:p>
    <w:p w:rsidR="003C3A88" w:rsidRPr="003A42A8" w:rsidRDefault="00C30EE0" w:rsidP="003A42A8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bookmarkStart w:id="0" w:name="_GoBack"/>
      <w:bookmarkEnd w:id="0"/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«04» июля 2014 г. </w:t>
      </w:r>
      <w:r w:rsidR="003A42A8"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№ 166</w:t>
      </w:r>
    </w:p>
    <w:p w:rsidR="003C3A88" w:rsidRPr="003A42A8" w:rsidRDefault="00C30EE0" w:rsidP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и методике планирования бюджетных ассигнований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</w:t>
      </w:r>
    </w:p>
    <w:p w:rsidR="003A42A8" w:rsidRPr="003A42A8" w:rsidRDefault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C3A88" w:rsidRPr="003A42A8" w:rsidRDefault="00C30EE0" w:rsidP="003A42A8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174.2 Бюджетного кодекса Российской Федерации администрация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</w:t>
      </w:r>
    </w:p>
    <w:p w:rsidR="003C3A88" w:rsidRPr="003A42A8" w:rsidRDefault="00C30EE0" w:rsidP="003A42A8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3A4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3A88" w:rsidRPr="003A42A8" w:rsidRDefault="00C30EE0" w:rsidP="003A42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и методику планирования бюджетных ассигнований 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на 2015 год и на плановый пе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риод 2016 и 2017 годов (далее - Порядок), согласно приложению к настоящему постановлению.</w:t>
      </w:r>
    </w:p>
    <w:p w:rsidR="003C3A88" w:rsidRPr="003A42A8" w:rsidRDefault="00C30EE0" w:rsidP="003A42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3C3A88" w:rsidRPr="003A42A8" w:rsidRDefault="00C30EE0" w:rsidP="003A42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на официальном сайте МО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области </w:t>
      </w:r>
      <w:proofErr w:type="spellStart"/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детапасКу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</w:p>
    <w:p w:rsidR="003C3A88" w:rsidRPr="003A42A8" w:rsidRDefault="00C30EE0" w:rsidP="003A42A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A42A8" w:rsidRPr="003A42A8" w:rsidRDefault="003A42A8" w:rsidP="003A42A8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3A88" w:rsidRPr="003A42A8" w:rsidRDefault="00C30EE0" w:rsidP="003A42A8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  <w:r w:rsidR="003A42A8"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А.В.Воронин</w:t>
      </w:r>
      <w:proofErr w:type="spellEnd"/>
    </w:p>
    <w:p w:rsidR="003A42A8" w:rsidRPr="003A42A8" w:rsidRDefault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42A8" w:rsidRPr="003A42A8" w:rsidRDefault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42A8" w:rsidRPr="003A42A8" w:rsidRDefault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42A8" w:rsidRPr="003A42A8" w:rsidRDefault="003A42A8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3A42A8" w:rsidRDefault="003A42A8" w:rsidP="003A42A8">
      <w:pPr>
        <w:pStyle w:val="a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C30EE0" w:rsidRPr="003A42A8">
        <w:rPr>
          <w:rFonts w:ascii="Times New Roman" w:hAnsi="Times New Roman" w:cs="Times New Roman"/>
          <w:sz w:val="28"/>
          <w:szCs w:val="28"/>
          <w:lang w:val="ru-RU"/>
        </w:rPr>
        <w:t>риложение к постановлению МА</w:t>
      </w:r>
    </w:p>
    <w:p w:rsidR="003A42A8" w:rsidRDefault="00C30EE0" w:rsidP="003A42A8">
      <w:pPr>
        <w:pStyle w:val="a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СП</w:t>
      </w:r>
    </w:p>
    <w:p w:rsidR="003C3A88" w:rsidRPr="003A42A8" w:rsidRDefault="00C30EE0" w:rsidP="003A42A8">
      <w:pPr>
        <w:pStyle w:val="a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от 04.07.2014 г. № 166</w:t>
      </w:r>
    </w:p>
    <w:p w:rsidR="003C3A88" w:rsidRPr="003A42A8" w:rsidRDefault="00C30EE0" w:rsidP="003A42A8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>Порядок и методика планирования бюджетных асс</w:t>
      </w:r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игнований 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Ленинградской области на 2015 год и на плановый период 2016 и 2017 годов</w:t>
      </w:r>
    </w:p>
    <w:p w:rsidR="003C3A88" w:rsidRPr="003A42A8" w:rsidRDefault="00C30EE0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порядок и методика планирования бюджетных ассигнований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на 2015 год и на плановый период 2016 и 2017 годов (далее — Порядок) разработаны в соответствии со статьей 174.2 Бюджетного кодекса Российской Феде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рации, а так же «Положением о бюджетном процессе в муниципальном образовании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области», утвержденным Решением Совета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 МО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СП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от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26.02.2014 г. года № 97. Формирование бюджетных ассигнований 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осуществляется с учетом программно-целевого принципа в соответствии с утвержденными му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ниципальными программами. 1.2. Для целей настоящего Порядка: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1.2.1. Бюджетные ассигнования планируются по видам в соответствии со статьёй 69 Бюджетного кодекса Российской Федерации и рассчитываются с учетом положений статей 69.1, 70, 74.1, 78, 78.1, 79, 80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1.2.2. При расчете предельных объемов бюджетных ассигнований используются следующие методы расчета на исполнение расходного обязательства в очередном финансовом году и плановом периоде. Нормативный метод - расчет б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юджетных ассигнований на основе нормативов, утвержденных в соответствующем правовом акте.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ий на основе нормативов.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Метод индексации - расчет объема бюджетных ассигнований путем увеличения объема бюджетных ассигнований текущего (отчетного) года на принятый коэффициент.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>К расходным обязательствам, объем которых определяется методом индексации, от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коэффициентов увеличения (уменьшения) объемов расходных обязат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ельств (частей расходных обязательств).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Плановый метод - установление объема бюджетных ассигнований в соответствии с показателями, указанными в нормативном правовом акте, договоре, паспорте программы, условиях займа, либо в соответствии со сметной стоимост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ью объекта.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Каждый из применяемых методов должен обеспечивать однозначность получения итоговых значе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ний.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1.2.3. Составляется реестр расходных обязательств (далее — РРО), в котором указываются правовые основания возникновения действующих либо принимаемых расходных обязательств, в соответствии с требованиями п. 2 ст. 174.2 Бюджетного кодекса Российской Фед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ерации.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1.3. В целях планирования бюджетных ассигнований главный распорядитель бюджетных средств и главный администратор источников финансирования дефицита (далее — главный администратор бюджетных средств (ГАБС)) заполняет соответствующие предложения по об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ъему и распределению бюджетных ассигнований на очередной финансовый год и плановый период. </w:t>
      </w:r>
      <w:r w:rsidRPr="003A42A8">
        <w:rPr>
          <w:rFonts w:ascii="Times New Roman" w:hAnsi="Times New Roman" w:cs="Times New Roman"/>
          <w:sz w:val="28"/>
          <w:szCs w:val="28"/>
        </w:rPr>
        <w:t xml:space="preserve">ГАБС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планирования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>:</w:t>
      </w:r>
    </w:p>
    <w:p w:rsidR="003C3A88" w:rsidRPr="003A42A8" w:rsidRDefault="00C30E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перечень муниципальных программ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и, утвержденный постановлением администрации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области;</w:t>
      </w:r>
    </w:p>
    <w:p w:rsidR="003C3A88" w:rsidRPr="003A42A8" w:rsidRDefault="00C30E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бюджетную классификацию, утвержденную Приказом Министерства финансов Российской Федерации.</w:t>
      </w:r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1.5. В соответствии с пунктом 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статьи 174.2 Бюджетного кодекса Российской Федерации планирование о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бъема бюджетных ассигнований на оказание муниципальных услуг физическим и юридическим лицам осуществляется с учетом проекта на очередной финансовый год, а также его выполнения в отчетном и текущем годах.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1.6. Объем бюджетных ассигнований на финансовое обес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печение материальных затрат осуществляется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3C3A88" w:rsidRPr="003A42A8" w:rsidRDefault="00C30EE0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Методика планирования бюджетных ассигнований бюджета муниципального образован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области. Планирование объемов бюджетных ассигнований 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на 2015 год и на плановый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период 2016 и 2017 годов осуществляется по программным расходам (расходным обязательствам, включенным в муниципальные программы) и непрограммным расходам.</w:t>
      </w:r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 Планирование бюджетных ассигнований на исполнение действующих расходных обязательств на 2015 го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2.1.1. Предельные объемы бюджетных ассигнований, формируемые в рамках муниципальных программ, планируются исходя из объемов бюджетных ассигнований, утвержденных в данных программах. 2.1.1.1. Объемы бюджетных ассигнований на исполнение действующих расход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ных обязательств, прогнозируется исходя из ожидаемого исполнения за 2014 год (показатели сводной бюджетной росписи на 2014 год по состоянию на 01 октября 2014 года) с учетом настоящего раздела Порядка. 2.1.1.2. Объемы бюджетных ассигнований на оплату труда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выборным должностным лицам, осуществляющим свои полномочия на постоянной основе, лицам, замещающих муниципальные должности, должности муниципальной службы, служащих и иных категорий работников рассчитываются методом индексации с учетом повышения оплаты тр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уда, принятого в 2015 году, для 2016-2017 годов на уровне 2015 года также с учетом индексации.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Начисления на оплату труда рассчитываются на основании установленного размера взносов на обязательное пенсионное страхование, на обязательное социальное страхова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ние на случай временной нетрудоспособности и в связи с материнством, на обязательное медицинское страхование, по страховым тарифам на обязательное социальное страхование от несчастных случаев на производстве и профессиональных заболеваний. 2.1.1.3. Объемы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бюджетных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>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C3A88" w:rsidRPr="003A42A8" w:rsidRDefault="00C30EE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расходы по оплате коммунальных услуг рассчитываются исходя из ожидаемого объема расходов в 2014 году с учетом возмо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жности бюджета:</w:t>
      </w:r>
    </w:p>
    <w:p w:rsidR="003C3A88" w:rsidRPr="003A42A8" w:rsidRDefault="00C30EE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материальные затраты определяются на основании потребности и с учетом возможности бюджета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поселения. 2.1.1.4. Объемы бюджетных 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ссигнований в части расходов на содержание, ремонт, капитальный ремонт, строительство и реконструкцию объектов дорожного хозяйства рассчитываются в пределах бюджетных ассигнований муниципального дорожного фонда, определенных в соответствии с решением Совет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а депутатов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области. 2.1.1.5. Объемы бюджетных ассигнований на предоставление межбюджетных трансфертов определяются в соответствии с нормативными правовыми актами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области, устанавливающими соответствующие расходные обязательства.</w:t>
      </w:r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2.1.1.6. Объемы бюджетных ассигнований на реализацию муниципальных целевых программ рассчитывают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ся на основании утвержденных соответствующими нормативными правовыми актами объемов финансирования.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2.1.1.7. Объемы бюджетных ассигнований по остальным видам расходов определяются исходя из ожидаемого исполнения за 2014 год с учетом коэффициента 1,0.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2.1.2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. Предельные объемы бюджетных ассигнований в рамках непрограммной деятельности планируются исходя из ожидаемого исполнения за 2014 год (показатели сводной бюджетной росписи на 2014 год по состоянию на 01 октября 2014 года) с учетом коэффициента 1,0.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2.1.3.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Бюджетные ассигнования за счет целевых средств областного бюджета (субвенции, субсидии, иные межбюджетные трансферты) на очередной финансовый год планируются в соответствии утвержденным законом Ленинградской области об областном бюджете на очередной финан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совый год и плановый период.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 Отраслевые особенности планирования бюджетных ассигнований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2.2..1. Муниципальное управление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Фонд 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оплаты труда работников органов местного самоуправления муниципального образования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—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поселения определяется согласно штатной численности и ведомственной структуры на 2015 год. Расходы на оплату труда работников органов местного самоуправления определены на основе утвержденных 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размеров оплаты труда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текущего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финансового года с учетом индексации с 01.01.2015 года и параметрами формирования бюджета.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2.2.2. Другие общегосударственные вопросы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184.1 Бюджетного Кодекса РФ в бюджете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поселения на плановый период 2016-2017 годов предусматриваются условно утвержденные расходы в следующих размерах: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на первый год планового периода (2016 год) -2,5 процента от общего объема расходов бюджета;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на втор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ой год планового периода (2017 год) - 5 процентов от общего объема расходов бюджета.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2.2.3. Обеспечение пожарной безопасности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>а обеспечение первичных мер пожарной безопасности органам местного самоуправления поселения предусматриваются средства на 2017-20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17 года согласно муниципальной программе «Безопасность в муниципальном образовании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2.2.4. Национальна экономика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По подразделу «Дорожное хозяйство (дорожные фонды)» в бюджете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—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предусмотрены бюджетные ассигнования на содержание автомобильных дорог общего пользования м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естного значения поселения по муниципальной программе «Развитие муниципальных дорог в муниципальном образовании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По данному разделу предусматривается осуществление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муниципальной программе «Развитие и поддержка малого и среднего предпринимательства на территории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 ‚, на осуществление не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программных расходов на мероприятия по землеустройству и землепользованию, в области архитектуры и градостроительства.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>2.2.5. Жилищно-коммунальное хозяйство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Полномочия по отрасли «Жилищно-коммунальное хозяйство» выполняются бюджетом муниципального образова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и определяются следующим образом:</w:t>
      </w:r>
    </w:p>
    <w:p w:rsidR="003C3A88" w:rsidRPr="003A42A8" w:rsidRDefault="00C30EE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бюджетные ассигнования на капитальный ремонт жилищного фонда определяются исходя из площади муниципального жилищного фонда (за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минусом 10%) и стоимости капитального ремонта 1м2 на 2015 год 5,55 руб. в месяц, на 2016-2017 года — 5,55 рублей в месяц.</w:t>
      </w:r>
    </w:p>
    <w:p w:rsidR="003C3A88" w:rsidRPr="003A42A8" w:rsidRDefault="00C30EE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расходы на уличное освещение определяются исходя из количества потребляемой электроэнергии и ожидаемых тарифов на электроэнергию, а та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кже расходов на техническое обслуживание осветительных приборов.</w:t>
      </w:r>
    </w:p>
    <w:p w:rsidR="003C3A88" w:rsidRPr="003A42A8" w:rsidRDefault="00C30EE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расчет расходов по благоустройству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планируются исходя из фактической потребности в проведе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нии определенных видов работ, а также учитывая мероприятия по муниципальных программ «Благоустройство территории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годах», «Энергосбережение и по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вышение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энергоэффективности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2015-2019 </w:t>
      </w: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>годах</w:t>
      </w:r>
      <w:proofErr w:type="gram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» с учетом возможности бюджета. 2.2.6.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A4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2A8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В расходы по данным отра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слям входят: - средства на проведение мероприятий в области физической культуры и спорта, содержание спортивных площадок по муниципальной программе «Развитие физической культуры и спорта в муниципальном образовании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годах».</w:t>
      </w:r>
    </w:p>
    <w:p w:rsidR="003C3A88" w:rsidRPr="003A42A8" w:rsidRDefault="00C30EE0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средства на проведение мероприятий для молодежи по подпрограмме «Молодежь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области» муниципальной программы «Ра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звитие культуры муниципального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 и предназначены в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. для обеспечения временной занятости подростков в летний период, в соответствии с письмами Центра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занятости.</w:t>
      </w:r>
      <w:proofErr w:type="gramEnd"/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Расчет средств на проведение спортивных и — молодежных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мероприятий производится на уровне текущего года с учетом возможности бюджета.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2.2.7. Культура</w:t>
      </w:r>
    </w:p>
    <w:p w:rsidR="003C3A88" w:rsidRPr="003A42A8" w:rsidRDefault="00C30EE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По подразделу «Культура» предусматриваются бюджетные ассигнования на финансирование мероприятий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в сфере культуры по муниципальной программе «Развитие культуры в муниципальном образовании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в 2015-2019 годах» из них</w:t>
      </w:r>
    </w:p>
    <w:p w:rsidR="003C3A88" w:rsidRPr="003A42A8" w:rsidRDefault="00C30EE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на реализацию мероприятий подпрограммы «Обеспечение жителей муни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образования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—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услугами в сфере культуры и досуга», включающих в себя расходы на содержание МКУ «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Тельмановский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сельский Дом культуры».</w:t>
      </w:r>
    </w:p>
    <w:p w:rsidR="003C3A88" w:rsidRPr="003A42A8" w:rsidRDefault="00C30EE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A42A8">
        <w:rPr>
          <w:rFonts w:ascii="Times New Roman" w:hAnsi="Times New Roman" w:cs="Times New Roman"/>
          <w:sz w:val="28"/>
          <w:szCs w:val="28"/>
          <w:lang w:val="ru-RU"/>
        </w:rPr>
        <w:t>на реализацию мероприятий подпрограмм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>ы «Обеспечение условий реализации муниципальной программы», включающих в себя расходы на организацию проведение праздничных мероприятий поселения.</w:t>
      </w:r>
    </w:p>
    <w:p w:rsidR="003C3A88" w:rsidRPr="003A42A8" w:rsidRDefault="00C30EE0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Расчет средств производится на уровне текущего года с учетом возможности бюджета, а также учитывая положения 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местной администрации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Тельмановское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proofErr w:type="spellStart"/>
      <w:r w:rsidRPr="003A42A8">
        <w:rPr>
          <w:rFonts w:ascii="Times New Roman" w:hAnsi="Times New Roman" w:cs="Times New Roman"/>
          <w:sz w:val="28"/>
          <w:szCs w:val="28"/>
          <w:lang w:val="ru-RU"/>
        </w:rPr>
        <w:t>Тосненского</w:t>
      </w:r>
      <w:proofErr w:type="spellEnd"/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 района Ленинградской области от 19.09.2013 № 199 «О мерах по поэтапному повышению заработной платы работников муниципальных учреждений первого уровня и утверждении Плана мероп</w:t>
      </w:r>
      <w:r w:rsidRPr="003A42A8">
        <w:rPr>
          <w:rFonts w:ascii="Times New Roman" w:hAnsi="Times New Roman" w:cs="Times New Roman"/>
          <w:sz w:val="28"/>
          <w:szCs w:val="28"/>
          <w:lang w:val="ru-RU"/>
        </w:rPr>
        <w:t xml:space="preserve">риятий («дорожной карты»), направленного на повышение эффективности сферы культуры и совершенствование оплаты труда работников учреждений первого уровня». </w:t>
      </w:r>
      <w:proofErr w:type="gramEnd"/>
    </w:p>
    <w:sectPr w:rsidR="003C3A88" w:rsidRPr="003A42A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E0" w:rsidRDefault="00C30EE0">
      <w:pPr>
        <w:spacing w:after="0"/>
      </w:pPr>
      <w:r>
        <w:separator/>
      </w:r>
    </w:p>
  </w:endnote>
  <w:endnote w:type="continuationSeparator" w:id="0">
    <w:p w:rsidR="00C30EE0" w:rsidRDefault="00C30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E0" w:rsidRDefault="00C30EE0">
      <w:r>
        <w:separator/>
      </w:r>
    </w:p>
  </w:footnote>
  <w:footnote w:type="continuationSeparator" w:id="0">
    <w:p w:rsidR="00C30EE0" w:rsidRDefault="00C3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F4B1D"/>
    <w:multiLevelType w:val="multilevel"/>
    <w:tmpl w:val="8006F0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5A53E5C"/>
    <w:multiLevelType w:val="multilevel"/>
    <w:tmpl w:val="1E68BB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61206E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C9D35"/>
    <w:multiLevelType w:val="multilevel"/>
    <w:tmpl w:val="F7E6F99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F9C49"/>
    <w:multiLevelType w:val="multilevel"/>
    <w:tmpl w:val="8C7A9C5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26C47"/>
    <w:rsid w:val="003A42A8"/>
    <w:rsid w:val="003C3A88"/>
    <w:rsid w:val="004E29B3"/>
    <w:rsid w:val="00590D07"/>
    <w:rsid w:val="00784D58"/>
    <w:rsid w:val="008D6863"/>
    <w:rsid w:val="00B86B75"/>
    <w:rsid w:val="00BC48D5"/>
    <w:rsid w:val="00C26958"/>
    <w:rsid w:val="00C30EE0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2018-12-18T08:08:00Z</dcterms:created>
  <dcterms:modified xsi:type="dcterms:W3CDTF">2018-12-18T08:08:00Z</dcterms:modified>
</cp:coreProperties>
</file>