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B" w:rsidRPr="0060669B" w:rsidRDefault="0060669B" w:rsidP="00704933">
      <w:pPr>
        <w:tabs>
          <w:tab w:val="left" w:pos="9214"/>
        </w:tabs>
        <w:suppressAutoHyphens/>
        <w:autoSpaceDN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60669B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63F56AC3" wp14:editId="590DACCE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9B" w:rsidRPr="0060669B" w:rsidRDefault="0060669B" w:rsidP="0060669B">
      <w:pPr>
        <w:tabs>
          <w:tab w:val="left" w:pos="9214"/>
        </w:tabs>
        <w:suppressAutoHyphens/>
        <w:autoSpaceDN w:val="0"/>
        <w:spacing w:after="0" w:line="240" w:lineRule="atLeast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066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СОВЕТ ДЕПУТАТОВ  </w:t>
      </w:r>
    </w:p>
    <w:p w:rsidR="0060669B" w:rsidRPr="0060669B" w:rsidRDefault="0060669B" w:rsidP="0060669B">
      <w:pPr>
        <w:tabs>
          <w:tab w:val="left" w:pos="9214"/>
        </w:tabs>
        <w:suppressAutoHyphens/>
        <w:autoSpaceDN w:val="0"/>
        <w:spacing w:after="0" w:line="240" w:lineRule="atLeast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066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60669B" w:rsidRPr="0060669B" w:rsidRDefault="0060669B" w:rsidP="0060669B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after="0" w:line="240" w:lineRule="atLeast"/>
        <w:ind w:right="56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60669B" w:rsidRPr="0060669B" w:rsidRDefault="0060669B" w:rsidP="0060669B">
      <w:pPr>
        <w:shd w:val="clear" w:color="auto" w:fill="FFFFFF"/>
        <w:tabs>
          <w:tab w:val="left" w:pos="9214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69B" w:rsidRPr="0060669B" w:rsidRDefault="00FE5525" w:rsidP="0060669B">
      <w:pPr>
        <w:shd w:val="clear" w:color="auto" w:fill="FFFFFF"/>
        <w:tabs>
          <w:tab w:val="left" w:pos="9214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</w:t>
      </w:r>
      <w:r w:rsidR="0060669B" w:rsidRPr="0060669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="005F5E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№72</w:t>
      </w:r>
      <w:bookmarkStart w:id="0" w:name="_GoBack"/>
      <w:bookmarkEnd w:id="0"/>
    </w:p>
    <w:p w:rsidR="0060669B" w:rsidRPr="0060669B" w:rsidRDefault="0060669B" w:rsidP="0060669B">
      <w:pPr>
        <w:tabs>
          <w:tab w:val="left" w:pos="2340"/>
          <w:tab w:val="left" w:pos="9214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98" w:rsidRPr="00104898" w:rsidRDefault="00104898" w:rsidP="003022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4898">
        <w:rPr>
          <w:rFonts w:ascii="Times New Roman" w:hAnsi="Times New Roman" w:cs="Times New Roman"/>
          <w:sz w:val="26"/>
          <w:szCs w:val="26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704933">
        <w:rPr>
          <w:rFonts w:ascii="Times New Roman" w:hAnsi="Times New Roman" w:cs="Times New Roman"/>
          <w:sz w:val="26"/>
          <w:szCs w:val="26"/>
        </w:rPr>
        <w:t>«02» октября</w:t>
      </w:r>
      <w:r w:rsidR="00864C20">
        <w:rPr>
          <w:rFonts w:ascii="Times New Roman" w:hAnsi="Times New Roman" w:cs="Times New Roman"/>
          <w:sz w:val="26"/>
          <w:szCs w:val="26"/>
        </w:rPr>
        <w:t xml:space="preserve"> </w:t>
      </w:r>
      <w:r w:rsidRPr="00104898">
        <w:rPr>
          <w:rFonts w:ascii="Times New Roman" w:hAnsi="Times New Roman" w:cs="Times New Roman"/>
          <w:sz w:val="26"/>
          <w:szCs w:val="26"/>
        </w:rPr>
        <w:t xml:space="preserve"> 201</w:t>
      </w:r>
      <w:r w:rsidR="00864C20">
        <w:rPr>
          <w:rFonts w:ascii="Times New Roman" w:hAnsi="Times New Roman" w:cs="Times New Roman"/>
          <w:sz w:val="26"/>
          <w:szCs w:val="26"/>
        </w:rPr>
        <w:t>8</w:t>
      </w:r>
      <w:r w:rsidRPr="00104898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bookmarkEnd w:id="2"/>
      <w:bookmarkEnd w:id="3"/>
      <w:r w:rsidRPr="00104898">
        <w:rPr>
          <w:rFonts w:ascii="Times New Roman" w:hAnsi="Times New Roman" w:cs="Times New Roman"/>
          <w:sz w:val="26"/>
          <w:szCs w:val="26"/>
        </w:rPr>
        <w:t>года</w:t>
      </w:r>
    </w:p>
    <w:p w:rsidR="0060669B" w:rsidRPr="0060669B" w:rsidRDefault="0060669B" w:rsidP="0060669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0669B" w:rsidRPr="0060669B" w:rsidRDefault="0060669B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размер</w:t>
      </w:r>
      <w:r w:rsidR="003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нормативов</w:t>
      </w:r>
      <w:r w:rsidR="00D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финансовых затрат </w:t>
      </w:r>
      <w:r w:rsidR="00DB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выполнение отдельных видов работ в </w:t>
      </w:r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606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  <w:r w:rsidR="003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МУП «Зеленый город»</w:t>
      </w: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3E3B1D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0669B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60669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0669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0669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</w:t>
      </w:r>
      <w:r w:rsidR="003E3B1D">
        <w:rPr>
          <w:rFonts w:ascii="Times New Roman" w:hAnsi="Times New Roman" w:cs="Times New Roman"/>
          <w:sz w:val="28"/>
          <w:szCs w:val="28"/>
        </w:rPr>
        <w:t xml:space="preserve"> </w:t>
      </w:r>
      <w:r w:rsidR="003E3B1D" w:rsidRPr="003E3B1D">
        <w:rPr>
          <w:rFonts w:ascii="Times New Roman" w:hAnsi="Times New Roman" w:cs="Times New Roman"/>
          <w:sz w:val="28"/>
          <w:szCs w:val="28"/>
        </w:rPr>
        <w:t>в целях повышения результативности</w:t>
      </w:r>
      <w:r w:rsidR="003E3B1D">
        <w:rPr>
          <w:rFonts w:ascii="Times New Roman" w:hAnsi="Times New Roman" w:cs="Times New Roman"/>
          <w:sz w:val="28"/>
          <w:szCs w:val="28"/>
        </w:rPr>
        <w:t xml:space="preserve"> </w:t>
      </w:r>
      <w:r w:rsidR="003E3B1D" w:rsidRPr="003E3B1D">
        <w:rPr>
          <w:rFonts w:ascii="Times New Roman" w:hAnsi="Times New Roman" w:cs="Times New Roman"/>
          <w:sz w:val="28"/>
          <w:szCs w:val="28"/>
        </w:rPr>
        <w:t>бюджетных расходов,</w:t>
      </w:r>
    </w:p>
    <w:p w:rsidR="0060669B" w:rsidRPr="0060669B" w:rsidRDefault="0060669B" w:rsidP="0060669B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69B" w:rsidRPr="0060669B" w:rsidRDefault="0060669B" w:rsidP="00606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669B" w:rsidRPr="0060669B" w:rsidRDefault="0060669B" w:rsidP="006066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E6E" w:rsidRPr="00DB6E6E" w:rsidRDefault="00024CBC" w:rsidP="00DB6E6E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6E6E" w:rsidRPr="00D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нормативы </w:t>
      </w:r>
      <w:r w:rsid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затрат </w:t>
      </w:r>
      <w:r w:rsidR="00DB6E6E" w:rsidRPr="00D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отдельных видов работ </w:t>
      </w:r>
      <w:r w:rsidR="00302226" w:rsidRP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«Зеленый город»</w:t>
      </w:r>
      <w:r w:rsid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E6E" w:rsidRPr="00DB6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размерах:</w:t>
      </w:r>
    </w:p>
    <w:p w:rsidR="00DB6E6E" w:rsidRDefault="00DB6E6E" w:rsidP="00DB6E6E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87152" w:rsidRPr="005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302226" w:rsidRPr="005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затрат </w:t>
      </w:r>
      <w:r w:rsidR="00587152" w:rsidRPr="005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содержанию 1 метра погонного тепловых сетей, находящихся на балансе МУП «Зеленый город» – </w:t>
      </w:r>
      <w:r w:rsidR="00204742">
        <w:rPr>
          <w:rFonts w:ascii="Times New Roman" w:eastAsia="Times New Roman" w:hAnsi="Times New Roman" w:cs="Times New Roman"/>
          <w:sz w:val="28"/>
          <w:szCs w:val="28"/>
          <w:lang w:eastAsia="ru-RU"/>
        </w:rPr>
        <w:t>77,75</w:t>
      </w:r>
      <w:r w:rsidR="00587152" w:rsidRPr="005D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месяц)</w:t>
      </w:r>
      <w:r w:rsid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152" w:rsidRPr="00DB6E6E" w:rsidRDefault="00587152" w:rsidP="008D3386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302226" w:rsidRP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затрат </w:t>
      </w:r>
      <w:r w:rsidRP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содержанию 1 </w:t>
      </w:r>
      <w:r w:rsidR="00856E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 погонного </w:t>
      </w:r>
      <w:r w:rsidR="00A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электрических </w:t>
      </w:r>
      <w:r w:rsidRP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Pr="00587152">
        <w:t xml:space="preserve"> </w:t>
      </w:r>
      <w:r w:rsidRP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балансе МУП «Зеленый город» – </w:t>
      </w:r>
      <w:r w:rsidR="00204742">
        <w:rPr>
          <w:rFonts w:ascii="Times New Roman" w:eastAsia="Times New Roman" w:hAnsi="Times New Roman" w:cs="Times New Roman"/>
          <w:sz w:val="28"/>
          <w:szCs w:val="28"/>
          <w:lang w:eastAsia="ru-RU"/>
        </w:rPr>
        <w:t>60,21</w:t>
      </w:r>
      <w:r w:rsidRP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месяц)</w:t>
      </w:r>
      <w:r w:rsidRPr="00587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E6E" w:rsidRDefault="00024CBC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302226" w:rsidRP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затрат </w:t>
      </w:r>
      <w:r w:rsidRPr="0002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благоустройству и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Pr="00024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02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024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02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закрепленного за МУП «Зеленый 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EE319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0669B" w:rsidRPr="0060669B" w:rsidRDefault="0060669B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нормативов</w:t>
      </w:r>
      <w:r w:rsidR="008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затрат</w:t>
      </w:r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95" w:rsidRP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отдельных видов </w:t>
      </w:r>
      <w:r w:rsidR="008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8D33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января 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69B" w:rsidRPr="0060669B" w:rsidRDefault="0060669B" w:rsidP="0060669B">
      <w:pPr>
        <w:suppressAutoHyphens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3695" w:rsidRP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нормативов</w:t>
      </w:r>
      <w:r w:rsidR="008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затрат </w:t>
      </w:r>
      <w:r w:rsidR="00FA3695" w:rsidRP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отдельных видов</w:t>
      </w:r>
      <w:r w:rsidR="003022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настоящим решением применяются для расчета размера субсидий, предоставляемых из бюджета муниципального образования </w:t>
      </w:r>
      <w:proofErr w:type="spellStart"/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соответствующие цели, а также </w:t>
      </w:r>
      <w:r w:rsidR="008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FA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использовании  средств субсидии.</w:t>
      </w:r>
    </w:p>
    <w:p w:rsidR="0060669B" w:rsidRPr="0060669B" w:rsidRDefault="0060669B" w:rsidP="0060669B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60669B" w:rsidRPr="0060669B" w:rsidRDefault="0060669B" w:rsidP="0060669B">
      <w:pPr>
        <w:tabs>
          <w:tab w:val="num" w:pos="928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0669B">
        <w:rPr>
          <w:rFonts w:ascii="Times New Roman" w:eastAsia="Calibri" w:hAnsi="Times New Roman" w:cs="Times New Roman"/>
          <w:noProof/>
          <w:sz w:val="28"/>
          <w:szCs w:val="28"/>
        </w:rPr>
        <w:t xml:space="preserve">Настоящее решение вступает в силу с момента официального опубликования (обнародования) в порядке, предусмотренном Уставом </w:t>
      </w:r>
      <w:r w:rsidRPr="0060669B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606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69B">
        <w:rPr>
          <w:rFonts w:ascii="Times New Roman" w:eastAsia="Calibri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69B" w:rsidRPr="0060669B" w:rsidRDefault="0060669B" w:rsidP="0060669B">
      <w:pPr>
        <w:tabs>
          <w:tab w:val="num" w:pos="928"/>
        </w:tabs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председателя постоянной комисси</w:t>
      </w:r>
      <w:r w:rsidR="001F5C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и жилищной политике, ГО и ЧС </w:t>
      </w:r>
      <w:r w:rsidR="0010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 М.В.</w:t>
      </w: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0669B" w:rsidRPr="0060669B" w:rsidRDefault="0060669B" w:rsidP="0060669B">
      <w:pPr>
        <w:tabs>
          <w:tab w:val="left" w:pos="9214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Г.В. </w:t>
      </w:r>
      <w:proofErr w:type="spellStart"/>
      <w:r w:rsidRPr="0060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255008" w:rsidRDefault="00255008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p w:rsidR="00707F5F" w:rsidRPr="0060669B" w:rsidRDefault="00707F5F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sectPr w:rsidR="00707F5F" w:rsidRPr="0060669B" w:rsidSect="00DD0B2F">
      <w:pgSz w:w="11906" w:h="16838"/>
      <w:pgMar w:top="709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0E6"/>
    <w:multiLevelType w:val="hybridMultilevel"/>
    <w:tmpl w:val="02D631A4"/>
    <w:lvl w:ilvl="0" w:tplc="D6CC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FE524F"/>
    <w:multiLevelType w:val="hybridMultilevel"/>
    <w:tmpl w:val="7CD0DB0A"/>
    <w:lvl w:ilvl="0" w:tplc="CA467EB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24CBC"/>
    <w:rsid w:val="00060FE5"/>
    <w:rsid w:val="00064A6A"/>
    <w:rsid w:val="00104898"/>
    <w:rsid w:val="00147A3D"/>
    <w:rsid w:val="001713CB"/>
    <w:rsid w:val="001B4080"/>
    <w:rsid w:val="001E5AA2"/>
    <w:rsid w:val="001F5C51"/>
    <w:rsid w:val="001F7D6A"/>
    <w:rsid w:val="00204742"/>
    <w:rsid w:val="00255008"/>
    <w:rsid w:val="002710E1"/>
    <w:rsid w:val="002C0E47"/>
    <w:rsid w:val="00302226"/>
    <w:rsid w:val="00330C43"/>
    <w:rsid w:val="00384CE7"/>
    <w:rsid w:val="00393E9B"/>
    <w:rsid w:val="003E3B1D"/>
    <w:rsid w:val="003E6EB9"/>
    <w:rsid w:val="003E789A"/>
    <w:rsid w:val="00415531"/>
    <w:rsid w:val="004B223B"/>
    <w:rsid w:val="004B2A53"/>
    <w:rsid w:val="00506CF7"/>
    <w:rsid w:val="00513695"/>
    <w:rsid w:val="00587152"/>
    <w:rsid w:val="005A6438"/>
    <w:rsid w:val="005D7159"/>
    <w:rsid w:val="005E05CC"/>
    <w:rsid w:val="005F5E17"/>
    <w:rsid w:val="0060669B"/>
    <w:rsid w:val="00617440"/>
    <w:rsid w:val="00627DD3"/>
    <w:rsid w:val="00655681"/>
    <w:rsid w:val="00691A5B"/>
    <w:rsid w:val="0069631E"/>
    <w:rsid w:val="00696D13"/>
    <w:rsid w:val="006B2977"/>
    <w:rsid w:val="006F440F"/>
    <w:rsid w:val="00704933"/>
    <w:rsid w:val="00707F5F"/>
    <w:rsid w:val="00714C7C"/>
    <w:rsid w:val="00737CA8"/>
    <w:rsid w:val="007512BC"/>
    <w:rsid w:val="00787175"/>
    <w:rsid w:val="007B10BD"/>
    <w:rsid w:val="007C3186"/>
    <w:rsid w:val="008027E4"/>
    <w:rsid w:val="008230ED"/>
    <w:rsid w:val="00840E43"/>
    <w:rsid w:val="00856E96"/>
    <w:rsid w:val="00864C20"/>
    <w:rsid w:val="00874CDF"/>
    <w:rsid w:val="00897D86"/>
    <w:rsid w:val="008C3448"/>
    <w:rsid w:val="008C7C08"/>
    <w:rsid w:val="008D3386"/>
    <w:rsid w:val="009054A9"/>
    <w:rsid w:val="00914F0B"/>
    <w:rsid w:val="00922FB2"/>
    <w:rsid w:val="00924613"/>
    <w:rsid w:val="00972095"/>
    <w:rsid w:val="009805DF"/>
    <w:rsid w:val="009845B7"/>
    <w:rsid w:val="0099422C"/>
    <w:rsid w:val="009A5875"/>
    <w:rsid w:val="009E40CE"/>
    <w:rsid w:val="00A22C26"/>
    <w:rsid w:val="00A31193"/>
    <w:rsid w:val="00A87821"/>
    <w:rsid w:val="00AB4EE4"/>
    <w:rsid w:val="00AD3BCA"/>
    <w:rsid w:val="00AE3568"/>
    <w:rsid w:val="00AF7DA0"/>
    <w:rsid w:val="00B20A18"/>
    <w:rsid w:val="00B31471"/>
    <w:rsid w:val="00B625B0"/>
    <w:rsid w:val="00BB2CDE"/>
    <w:rsid w:val="00C96953"/>
    <w:rsid w:val="00CC23C0"/>
    <w:rsid w:val="00CC24C9"/>
    <w:rsid w:val="00CD345F"/>
    <w:rsid w:val="00D03CC8"/>
    <w:rsid w:val="00D146E5"/>
    <w:rsid w:val="00D167A6"/>
    <w:rsid w:val="00D2035C"/>
    <w:rsid w:val="00DB6E6E"/>
    <w:rsid w:val="00DC6D3E"/>
    <w:rsid w:val="00DD0B2F"/>
    <w:rsid w:val="00E0532B"/>
    <w:rsid w:val="00E250BC"/>
    <w:rsid w:val="00E43E28"/>
    <w:rsid w:val="00E71D80"/>
    <w:rsid w:val="00E91CE5"/>
    <w:rsid w:val="00EB1BCE"/>
    <w:rsid w:val="00EE319A"/>
    <w:rsid w:val="00F313F8"/>
    <w:rsid w:val="00F74E51"/>
    <w:rsid w:val="00FA3695"/>
    <w:rsid w:val="00FB646B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E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E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E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E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C0AC-C606-4B59-9E97-0331DB8E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4</cp:revision>
  <cp:lastPrinted>2018-09-28T14:31:00Z</cp:lastPrinted>
  <dcterms:created xsi:type="dcterms:W3CDTF">2018-09-28T14:32:00Z</dcterms:created>
  <dcterms:modified xsi:type="dcterms:W3CDTF">2018-10-05T08:10:00Z</dcterms:modified>
</cp:coreProperties>
</file>