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48" w:rsidRPr="00EE1777" w:rsidRDefault="00420448" w:rsidP="00420448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008A83BC" wp14:editId="5CEC659D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420448" w:rsidRPr="00EE1777" w:rsidRDefault="00420448" w:rsidP="0042044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420448" w:rsidRPr="00EE1777" w:rsidRDefault="00420448" w:rsidP="00420448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420448" w:rsidRPr="00EE1777" w:rsidRDefault="00420448" w:rsidP="00420448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420448" w:rsidRPr="00EE1777" w:rsidRDefault="00420448" w:rsidP="0042044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420448" w:rsidRPr="00EE1777" w:rsidRDefault="00420448" w:rsidP="00420448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420448" w:rsidRPr="00EE1777" w:rsidRDefault="00420448" w:rsidP="00420448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420448" w:rsidRPr="00EE1777" w:rsidRDefault="00420448" w:rsidP="00420448">
      <w:pPr>
        <w:suppressAutoHyphens/>
        <w:rPr>
          <w:rFonts w:eastAsia="Calibri"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11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E1777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апреля</w:t>
      </w:r>
      <w:r w:rsidRPr="00EE1777">
        <w:rPr>
          <w:rFonts w:eastAsia="Calibri"/>
          <w:sz w:val="28"/>
          <w:szCs w:val="28"/>
          <w:lang w:eastAsia="ar-SA"/>
        </w:rPr>
        <w:t xml:space="preserve"> 2018 г.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57</w:t>
      </w:r>
    </w:p>
    <w:p w:rsidR="00420448" w:rsidRPr="00EE1777" w:rsidRDefault="00420448" w:rsidP="0042044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420448" w:rsidRPr="00C44D8C" w:rsidRDefault="00420448" w:rsidP="0042044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8"/>
      </w:tblGrid>
      <w:tr w:rsidR="00420448" w:rsidRPr="00420448" w:rsidTr="00AD46ED">
        <w:tc>
          <w:tcPr>
            <w:tcW w:w="6062" w:type="dxa"/>
          </w:tcPr>
          <w:p w:rsidR="00420448" w:rsidRPr="00420448" w:rsidRDefault="00420448" w:rsidP="00420448">
            <w:pPr>
              <w:rPr>
                <w:b/>
                <w:sz w:val="28"/>
                <w:szCs w:val="28"/>
              </w:rPr>
            </w:pPr>
            <w:r w:rsidRPr="00420448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  <w:szCs w:val="28"/>
              </w:rPr>
              <w:t>«А</w:t>
            </w:r>
            <w:r w:rsidRPr="00420448">
              <w:rPr>
                <w:b/>
                <w:sz w:val="28"/>
                <w:szCs w:val="28"/>
              </w:rPr>
              <w:t xml:space="preserve">дминистративный регламент предоставления муниципальной услуги </w:t>
            </w:r>
            <w:r>
              <w:rPr>
                <w:b/>
                <w:sz w:val="28"/>
                <w:szCs w:val="28"/>
              </w:rPr>
              <w:t xml:space="preserve">по приватизации муниципального имущества </w:t>
            </w:r>
            <w:proofErr w:type="spellStart"/>
            <w:r w:rsidRPr="00420448">
              <w:rPr>
                <w:b/>
                <w:sz w:val="28"/>
                <w:szCs w:val="28"/>
              </w:rPr>
              <w:t>Тельмановско</w:t>
            </w:r>
            <w:r>
              <w:rPr>
                <w:b/>
                <w:sz w:val="28"/>
                <w:szCs w:val="28"/>
              </w:rPr>
              <w:t>го</w:t>
            </w:r>
            <w:proofErr w:type="spellEnd"/>
            <w:r w:rsidRPr="00420448">
              <w:rPr>
                <w:b/>
                <w:sz w:val="28"/>
                <w:szCs w:val="28"/>
              </w:rPr>
              <w:t xml:space="preserve"> сельско</w:t>
            </w:r>
            <w:r>
              <w:rPr>
                <w:b/>
                <w:sz w:val="28"/>
                <w:szCs w:val="28"/>
              </w:rPr>
              <w:t>го</w:t>
            </w:r>
            <w:r w:rsidRPr="00420448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  <w:r w:rsidRPr="004204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0448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420448">
              <w:rPr>
                <w:b/>
                <w:sz w:val="28"/>
                <w:szCs w:val="28"/>
              </w:rPr>
              <w:t xml:space="preserve"> района Ленинградской области</w:t>
            </w:r>
            <w:r w:rsidRPr="0042044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420448">
              <w:rPr>
                <w:b/>
                <w:sz w:val="28"/>
                <w:szCs w:val="28"/>
              </w:rPr>
              <w:t xml:space="preserve">, утвержденный постановлением администрации МО </w:t>
            </w:r>
            <w:proofErr w:type="spellStart"/>
            <w:r w:rsidRPr="00420448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420448">
              <w:rPr>
                <w:b/>
                <w:sz w:val="28"/>
                <w:szCs w:val="28"/>
              </w:rPr>
              <w:t xml:space="preserve"> СП </w:t>
            </w:r>
            <w:proofErr w:type="spellStart"/>
            <w:r w:rsidRPr="00420448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420448">
              <w:rPr>
                <w:b/>
                <w:sz w:val="28"/>
                <w:szCs w:val="28"/>
              </w:rPr>
              <w:t xml:space="preserve"> района Ленинградской области от </w:t>
            </w:r>
            <w:r>
              <w:rPr>
                <w:b/>
                <w:sz w:val="28"/>
                <w:szCs w:val="28"/>
              </w:rPr>
              <w:t>13</w:t>
            </w:r>
            <w:r w:rsidRPr="0042044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420448">
              <w:rPr>
                <w:b/>
                <w:sz w:val="28"/>
                <w:szCs w:val="28"/>
              </w:rPr>
              <w:t xml:space="preserve">.2015 г.  № </w:t>
            </w:r>
            <w:r>
              <w:rPr>
                <w:b/>
                <w:sz w:val="28"/>
                <w:szCs w:val="28"/>
              </w:rPr>
              <w:t>8</w:t>
            </w:r>
            <w:r w:rsidRPr="004204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08" w:type="dxa"/>
          </w:tcPr>
          <w:p w:rsidR="00420448" w:rsidRPr="00420448" w:rsidRDefault="00420448" w:rsidP="00420448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420448" w:rsidRDefault="00420448" w:rsidP="004204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0448" w:rsidRDefault="00420448" w:rsidP="004204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48">
        <w:rPr>
          <w:rFonts w:eastAsiaTheme="minorHAnsi"/>
          <w:sz w:val="28"/>
          <w:szCs w:val="28"/>
          <w:lang w:eastAsia="en-US"/>
        </w:rPr>
        <w:t>С целью приведения муниципального нормативного акта предоставления муниципальной услуги в соответствие действующему законодательству, руководствуясь Федеральны</w:t>
      </w:r>
      <w:r>
        <w:rPr>
          <w:rFonts w:eastAsiaTheme="minorHAnsi"/>
          <w:sz w:val="28"/>
          <w:szCs w:val="28"/>
          <w:lang w:eastAsia="en-US"/>
        </w:rPr>
        <w:t>м</w:t>
      </w:r>
      <w:r w:rsidRPr="00420448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420448">
        <w:rPr>
          <w:rFonts w:eastAsiaTheme="minorHAnsi"/>
          <w:sz w:val="28"/>
          <w:szCs w:val="28"/>
          <w:lang w:eastAsia="en-US"/>
        </w:rPr>
        <w:t xml:space="preserve"> от 21.12.2001 </w:t>
      </w:r>
      <w:r>
        <w:rPr>
          <w:rFonts w:eastAsiaTheme="minorHAnsi"/>
          <w:sz w:val="28"/>
          <w:szCs w:val="28"/>
          <w:lang w:eastAsia="en-US"/>
        </w:rPr>
        <w:t>№</w:t>
      </w:r>
      <w:r w:rsidRPr="00420448">
        <w:rPr>
          <w:rFonts w:eastAsiaTheme="minorHAnsi"/>
          <w:sz w:val="28"/>
          <w:szCs w:val="28"/>
          <w:lang w:eastAsia="en-US"/>
        </w:rPr>
        <w:t>178-ФЗ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420448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420448">
        <w:rPr>
          <w:rFonts w:eastAsiaTheme="minorHAnsi"/>
          <w:sz w:val="28"/>
          <w:szCs w:val="28"/>
          <w:lang w:eastAsia="en-US"/>
        </w:rPr>
        <w:t>Федеральны</w:t>
      </w:r>
      <w:r>
        <w:rPr>
          <w:rFonts w:eastAsiaTheme="minorHAnsi"/>
          <w:sz w:val="28"/>
          <w:szCs w:val="28"/>
          <w:lang w:eastAsia="en-US"/>
        </w:rPr>
        <w:t>м</w:t>
      </w:r>
      <w:r w:rsidRPr="00420448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420448">
        <w:rPr>
          <w:rFonts w:eastAsiaTheme="minorHAnsi"/>
          <w:sz w:val="28"/>
          <w:szCs w:val="28"/>
          <w:lang w:eastAsia="en-US"/>
        </w:rPr>
        <w:t xml:space="preserve"> от 26.07.2006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420448">
        <w:rPr>
          <w:rFonts w:eastAsiaTheme="minorHAnsi"/>
          <w:sz w:val="28"/>
          <w:szCs w:val="28"/>
          <w:lang w:eastAsia="en-US"/>
        </w:rPr>
        <w:t>135-ФЗ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420448">
        <w:rPr>
          <w:rFonts w:eastAsiaTheme="minorHAnsi"/>
          <w:sz w:val="28"/>
          <w:szCs w:val="28"/>
          <w:lang w:eastAsia="en-US"/>
        </w:rPr>
        <w:t>О защите конкуренции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420448" w:rsidRPr="00EE1777" w:rsidRDefault="00420448" w:rsidP="0042044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ar-SA"/>
        </w:rPr>
        <w:t>Тельмановское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ar-SA"/>
        </w:rPr>
        <w:t>Тосненского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района Ленинградской области</w:t>
      </w:r>
    </w:p>
    <w:p w:rsidR="00420448" w:rsidRDefault="00420448" w:rsidP="0042044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420448" w:rsidRPr="000E6940" w:rsidRDefault="00420448" w:rsidP="0042044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420448" w:rsidRPr="00EE1777" w:rsidRDefault="00420448" w:rsidP="00420448">
      <w:pPr>
        <w:ind w:firstLine="567"/>
        <w:jc w:val="both"/>
        <w:rPr>
          <w:b/>
          <w:color w:val="FF0000"/>
          <w:sz w:val="28"/>
          <w:szCs w:val="28"/>
        </w:rPr>
      </w:pPr>
    </w:p>
    <w:p w:rsidR="00420448" w:rsidRDefault="00420448" w:rsidP="00420448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Внести в </w:t>
      </w:r>
      <w:r w:rsidRPr="00420448">
        <w:rPr>
          <w:sz w:val="28"/>
          <w:szCs w:val="28"/>
        </w:rPr>
        <w:t xml:space="preserve">Административный регламент предоставления муниципальной услуги по приватизации муниципального имущества </w:t>
      </w:r>
      <w:proofErr w:type="spellStart"/>
      <w:r w:rsidRPr="00420448">
        <w:rPr>
          <w:sz w:val="28"/>
          <w:szCs w:val="28"/>
        </w:rPr>
        <w:t>Тельмановского</w:t>
      </w:r>
      <w:proofErr w:type="spellEnd"/>
      <w:r w:rsidRPr="00420448">
        <w:rPr>
          <w:sz w:val="28"/>
          <w:szCs w:val="28"/>
        </w:rPr>
        <w:t xml:space="preserve"> сельского поселения </w:t>
      </w:r>
      <w:proofErr w:type="spellStart"/>
      <w:r w:rsidRPr="00420448">
        <w:rPr>
          <w:sz w:val="28"/>
          <w:szCs w:val="28"/>
        </w:rPr>
        <w:t>Тосненского</w:t>
      </w:r>
      <w:proofErr w:type="spellEnd"/>
      <w:r w:rsidRPr="00420448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,</w:t>
      </w:r>
      <w:r w:rsidRPr="00420448">
        <w:rPr>
          <w:sz w:val="28"/>
          <w:szCs w:val="28"/>
        </w:rPr>
        <w:t xml:space="preserve"> утвержденный постановлением администрации муниципального образования </w:t>
      </w:r>
      <w:proofErr w:type="spellStart"/>
      <w:r w:rsidRPr="00420448">
        <w:rPr>
          <w:sz w:val="28"/>
          <w:szCs w:val="28"/>
        </w:rPr>
        <w:t>Тельмановское</w:t>
      </w:r>
      <w:proofErr w:type="spellEnd"/>
      <w:r w:rsidRPr="00420448">
        <w:rPr>
          <w:sz w:val="28"/>
          <w:szCs w:val="28"/>
        </w:rPr>
        <w:t xml:space="preserve"> сельское поселение </w:t>
      </w:r>
      <w:proofErr w:type="spellStart"/>
      <w:r w:rsidRPr="00420448">
        <w:rPr>
          <w:sz w:val="28"/>
          <w:szCs w:val="28"/>
        </w:rPr>
        <w:t>Тосненского</w:t>
      </w:r>
      <w:proofErr w:type="spellEnd"/>
      <w:r w:rsidRPr="00420448">
        <w:rPr>
          <w:sz w:val="28"/>
          <w:szCs w:val="28"/>
        </w:rPr>
        <w:t xml:space="preserve"> района Ленинградской области от </w:t>
      </w:r>
      <w:r>
        <w:rPr>
          <w:sz w:val="28"/>
          <w:szCs w:val="28"/>
        </w:rPr>
        <w:t>13</w:t>
      </w:r>
      <w:r w:rsidRPr="0042044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20448">
        <w:rPr>
          <w:sz w:val="28"/>
          <w:szCs w:val="28"/>
        </w:rPr>
        <w:t xml:space="preserve">.2015 г.  № </w:t>
      </w:r>
      <w:r>
        <w:rPr>
          <w:sz w:val="28"/>
          <w:szCs w:val="28"/>
        </w:rPr>
        <w:t>8</w:t>
      </w:r>
      <w:r w:rsidRPr="00420448">
        <w:rPr>
          <w:sz w:val="28"/>
          <w:szCs w:val="28"/>
        </w:rPr>
        <w:t>2 (далее – Административный регламент) следующие изменения:</w:t>
      </w:r>
    </w:p>
    <w:p w:rsidR="005616A1" w:rsidRPr="00420448" w:rsidRDefault="005616A1" w:rsidP="00420448">
      <w:pPr>
        <w:suppressAutoHyphens/>
        <w:ind w:firstLine="567"/>
        <w:jc w:val="both"/>
        <w:rPr>
          <w:sz w:val="28"/>
          <w:szCs w:val="28"/>
        </w:rPr>
      </w:pPr>
      <w:r w:rsidRPr="005616A1">
        <w:rPr>
          <w:sz w:val="28"/>
          <w:szCs w:val="28"/>
        </w:rPr>
        <w:t>1.1. По тексту Административного регламента слова:  «telmanacity.ru»  заменить на «http://telmana.info», в соответствующем падеже.</w:t>
      </w:r>
    </w:p>
    <w:p w:rsidR="005616A1" w:rsidRPr="005616A1" w:rsidRDefault="00420448" w:rsidP="005616A1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>1.</w:t>
      </w:r>
      <w:r w:rsidR="005616A1">
        <w:rPr>
          <w:sz w:val="28"/>
          <w:szCs w:val="28"/>
        </w:rPr>
        <w:t>2</w:t>
      </w:r>
      <w:r w:rsidRPr="00420448">
        <w:rPr>
          <w:sz w:val="28"/>
          <w:szCs w:val="28"/>
        </w:rPr>
        <w:t>.</w:t>
      </w:r>
      <w:r w:rsidR="005616A1">
        <w:rPr>
          <w:sz w:val="28"/>
          <w:szCs w:val="28"/>
        </w:rPr>
        <w:t xml:space="preserve"> Пункт 1.2. </w:t>
      </w:r>
      <w:r w:rsidR="005616A1" w:rsidRPr="005616A1">
        <w:rPr>
          <w:sz w:val="28"/>
          <w:szCs w:val="28"/>
        </w:rPr>
        <w:t>Раздел</w:t>
      </w:r>
      <w:r w:rsidR="005616A1">
        <w:rPr>
          <w:sz w:val="28"/>
          <w:szCs w:val="28"/>
        </w:rPr>
        <w:t>а</w:t>
      </w:r>
      <w:r w:rsidR="005616A1" w:rsidRPr="005616A1">
        <w:rPr>
          <w:sz w:val="28"/>
          <w:szCs w:val="28"/>
        </w:rPr>
        <w:t xml:space="preserve"> 1 «Общие положения» </w:t>
      </w:r>
      <w:r w:rsidR="005616A1" w:rsidRPr="005616A1">
        <w:rPr>
          <w:sz w:val="28"/>
          <w:szCs w:val="28"/>
        </w:rPr>
        <w:t>Административного регламента изложить в новой редакции:</w:t>
      </w:r>
    </w:p>
    <w:p w:rsidR="005616A1" w:rsidRPr="005616A1" w:rsidRDefault="005616A1" w:rsidP="005616A1">
      <w:pPr>
        <w:suppressAutoHyphens/>
        <w:ind w:firstLine="567"/>
        <w:jc w:val="both"/>
        <w:rPr>
          <w:sz w:val="28"/>
          <w:szCs w:val="28"/>
        </w:rPr>
      </w:pPr>
      <w:r w:rsidRPr="005616A1">
        <w:rPr>
          <w:sz w:val="28"/>
          <w:szCs w:val="28"/>
        </w:rPr>
        <w:t xml:space="preserve">«Заявителями могут выступать физические и юридические лица, за исключением: </w:t>
      </w:r>
    </w:p>
    <w:p w:rsidR="005616A1" w:rsidRPr="005616A1" w:rsidRDefault="005616A1" w:rsidP="005616A1">
      <w:pPr>
        <w:suppressAutoHyphens/>
        <w:ind w:firstLine="567"/>
        <w:jc w:val="both"/>
        <w:rPr>
          <w:sz w:val="28"/>
          <w:szCs w:val="28"/>
        </w:rPr>
      </w:pPr>
      <w:r w:rsidRPr="005616A1">
        <w:rPr>
          <w:sz w:val="28"/>
          <w:szCs w:val="28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5616A1" w:rsidRPr="005616A1" w:rsidRDefault="005616A1" w:rsidP="005616A1">
      <w:pPr>
        <w:suppressAutoHyphens/>
        <w:ind w:firstLine="567"/>
        <w:jc w:val="both"/>
        <w:rPr>
          <w:sz w:val="28"/>
          <w:szCs w:val="28"/>
        </w:rPr>
      </w:pPr>
      <w:r w:rsidRPr="005616A1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</w:t>
      </w:r>
      <w:r>
        <w:rPr>
          <w:sz w:val="28"/>
          <w:szCs w:val="28"/>
        </w:rPr>
        <w:t>«</w:t>
      </w:r>
      <w:r w:rsidRPr="005616A1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5616A1">
        <w:rPr>
          <w:sz w:val="28"/>
          <w:szCs w:val="28"/>
        </w:rPr>
        <w:t>;</w:t>
      </w:r>
    </w:p>
    <w:p w:rsidR="005616A1" w:rsidRPr="005616A1" w:rsidRDefault="005616A1" w:rsidP="005616A1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5616A1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5616A1" w:rsidRPr="005616A1" w:rsidRDefault="005616A1" w:rsidP="005616A1">
      <w:pPr>
        <w:suppressAutoHyphens/>
        <w:ind w:firstLine="567"/>
        <w:jc w:val="both"/>
        <w:rPr>
          <w:sz w:val="28"/>
          <w:szCs w:val="28"/>
        </w:rPr>
      </w:pPr>
      <w:r w:rsidRPr="005616A1">
        <w:rPr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контроль, путем:</w:t>
      </w:r>
    </w:p>
    <w:p w:rsidR="005616A1" w:rsidRPr="005616A1" w:rsidRDefault="005616A1" w:rsidP="00561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6A1">
        <w:rPr>
          <w:sz w:val="28"/>
          <w:szCs w:val="28"/>
        </w:rPr>
        <w:t>Распоряжения более чем 50 процентами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5616A1" w:rsidRPr="005616A1" w:rsidRDefault="005616A1" w:rsidP="00561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16A1">
        <w:rPr>
          <w:sz w:val="28"/>
          <w:szCs w:val="28"/>
        </w:rPr>
        <w:tab/>
        <w:t>Осуществления функций исполнительного органа юридического лица.</w:t>
      </w:r>
    </w:p>
    <w:p w:rsidR="005616A1" w:rsidRPr="005616A1" w:rsidRDefault="005616A1" w:rsidP="005616A1">
      <w:pPr>
        <w:suppressAutoHyphens/>
        <w:ind w:firstLine="567"/>
        <w:jc w:val="both"/>
        <w:rPr>
          <w:sz w:val="28"/>
          <w:szCs w:val="28"/>
        </w:rPr>
      </w:pPr>
      <w:r w:rsidRPr="005616A1">
        <w:rPr>
          <w:sz w:val="28"/>
          <w:szCs w:val="28"/>
        </w:rPr>
        <w:t xml:space="preserve"> Понятия </w:t>
      </w:r>
      <w:r>
        <w:rPr>
          <w:sz w:val="28"/>
          <w:szCs w:val="28"/>
        </w:rPr>
        <w:t>«</w:t>
      </w:r>
      <w:r w:rsidRPr="005616A1">
        <w:rPr>
          <w:sz w:val="28"/>
          <w:szCs w:val="28"/>
        </w:rPr>
        <w:t>группа лиц</w:t>
      </w:r>
      <w:r>
        <w:rPr>
          <w:sz w:val="28"/>
          <w:szCs w:val="28"/>
        </w:rPr>
        <w:t>»</w:t>
      </w:r>
      <w:r w:rsidRPr="005616A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5616A1">
        <w:rPr>
          <w:sz w:val="28"/>
          <w:szCs w:val="28"/>
        </w:rPr>
        <w:t>контроль</w:t>
      </w:r>
      <w:r>
        <w:rPr>
          <w:sz w:val="28"/>
          <w:szCs w:val="28"/>
        </w:rPr>
        <w:t>»</w:t>
      </w:r>
      <w:r w:rsidRPr="005616A1">
        <w:rPr>
          <w:sz w:val="28"/>
          <w:szCs w:val="28"/>
        </w:rPr>
        <w:t xml:space="preserve"> используются в значениях, указанных соответственно в статьях 9 и 11 Федерального закона от 26 июля 2006 года </w:t>
      </w:r>
      <w:r>
        <w:rPr>
          <w:sz w:val="28"/>
          <w:szCs w:val="28"/>
        </w:rPr>
        <w:t>№</w:t>
      </w:r>
      <w:r w:rsidRPr="005616A1">
        <w:rPr>
          <w:sz w:val="28"/>
          <w:szCs w:val="28"/>
        </w:rPr>
        <w:t xml:space="preserve">135-ФЗ </w:t>
      </w:r>
      <w:r>
        <w:rPr>
          <w:sz w:val="28"/>
          <w:szCs w:val="28"/>
        </w:rPr>
        <w:t>«</w:t>
      </w:r>
      <w:r w:rsidRPr="005616A1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5616A1">
        <w:rPr>
          <w:sz w:val="28"/>
          <w:szCs w:val="28"/>
        </w:rPr>
        <w:t>.</w:t>
      </w:r>
    </w:p>
    <w:p w:rsidR="005616A1" w:rsidRPr="005616A1" w:rsidRDefault="005616A1" w:rsidP="005616A1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5616A1">
        <w:rPr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участков.»</w:t>
      </w:r>
      <w:r>
        <w:rPr>
          <w:sz w:val="28"/>
          <w:szCs w:val="28"/>
        </w:rPr>
        <w:t>.</w:t>
      </w:r>
      <w:proofErr w:type="gramEnd"/>
    </w:p>
    <w:p w:rsidR="005616A1" w:rsidRPr="005616A1" w:rsidRDefault="00043EFB" w:rsidP="00561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A2B6C">
        <w:rPr>
          <w:sz w:val="28"/>
          <w:szCs w:val="28"/>
        </w:rPr>
        <w:t xml:space="preserve">Данное постановление подлежит опубликованию в средствах массовой информации и </w:t>
      </w:r>
      <w:r w:rsidR="005616A1" w:rsidRPr="005616A1">
        <w:rPr>
          <w:sz w:val="28"/>
          <w:szCs w:val="28"/>
        </w:rPr>
        <w:t>вступает в силу после его официального опубликования.</w:t>
      </w:r>
    </w:p>
    <w:p w:rsidR="00420448" w:rsidRDefault="00043EFB" w:rsidP="00420448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20448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420448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420448">
        <w:rPr>
          <w:color w:val="000000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420448" w:rsidRDefault="00420448" w:rsidP="00420448">
      <w:pPr>
        <w:suppressAutoHyphens/>
        <w:ind w:firstLine="567"/>
        <w:jc w:val="both"/>
        <w:rPr>
          <w:sz w:val="28"/>
          <w:szCs w:val="28"/>
        </w:rPr>
      </w:pPr>
    </w:p>
    <w:p w:rsidR="00420448" w:rsidRDefault="00420448" w:rsidP="00420448">
      <w:pPr>
        <w:suppressAutoHyphens/>
        <w:ind w:firstLine="567"/>
        <w:jc w:val="both"/>
        <w:rPr>
          <w:sz w:val="28"/>
          <w:szCs w:val="28"/>
        </w:rPr>
      </w:pPr>
    </w:p>
    <w:p w:rsidR="00420448" w:rsidRDefault="00420448" w:rsidP="00420448">
      <w:pPr>
        <w:suppressAutoHyphens/>
        <w:ind w:firstLine="567"/>
        <w:jc w:val="both"/>
        <w:rPr>
          <w:sz w:val="28"/>
          <w:szCs w:val="28"/>
        </w:rPr>
      </w:pPr>
    </w:p>
    <w:p w:rsidR="00420448" w:rsidRPr="00B15E61" w:rsidRDefault="00420448" w:rsidP="004204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1777">
        <w:rPr>
          <w:sz w:val="28"/>
          <w:szCs w:val="28"/>
        </w:rPr>
        <w:t xml:space="preserve"> администрации                                                            С.А. Приходько</w:t>
      </w:r>
    </w:p>
    <w:p w:rsidR="00420448" w:rsidRDefault="00420448" w:rsidP="00420448">
      <w:pPr>
        <w:ind w:firstLine="567"/>
        <w:jc w:val="right"/>
        <w:rPr>
          <w:szCs w:val="24"/>
          <w:bdr w:val="none" w:sz="0" w:space="0" w:color="auto" w:frame="1"/>
        </w:rPr>
      </w:pPr>
    </w:p>
    <w:p w:rsidR="00420448" w:rsidRDefault="00420448" w:rsidP="00420448">
      <w:pPr>
        <w:ind w:firstLine="567"/>
        <w:jc w:val="right"/>
        <w:rPr>
          <w:szCs w:val="24"/>
          <w:bdr w:val="none" w:sz="0" w:space="0" w:color="auto" w:frame="1"/>
        </w:rPr>
      </w:pPr>
    </w:p>
    <w:p w:rsidR="00420448" w:rsidRDefault="00420448" w:rsidP="00420448">
      <w:pPr>
        <w:ind w:firstLine="567"/>
        <w:jc w:val="right"/>
        <w:rPr>
          <w:szCs w:val="24"/>
          <w:bdr w:val="none" w:sz="0" w:space="0" w:color="auto" w:frame="1"/>
        </w:rPr>
      </w:pPr>
    </w:p>
    <w:p w:rsidR="00420448" w:rsidRDefault="00420448" w:rsidP="00420448">
      <w:pPr>
        <w:ind w:firstLine="567"/>
        <w:jc w:val="right"/>
        <w:rPr>
          <w:szCs w:val="24"/>
          <w:bdr w:val="none" w:sz="0" w:space="0" w:color="auto" w:frame="1"/>
        </w:rPr>
      </w:pPr>
    </w:p>
    <w:p w:rsidR="00420448" w:rsidRDefault="00420448" w:rsidP="00420448">
      <w:pPr>
        <w:ind w:firstLine="567"/>
        <w:jc w:val="right"/>
        <w:rPr>
          <w:szCs w:val="24"/>
          <w:bdr w:val="none" w:sz="0" w:space="0" w:color="auto" w:frame="1"/>
        </w:rPr>
      </w:pPr>
      <w:bookmarkStart w:id="0" w:name="_GoBack"/>
      <w:bookmarkEnd w:id="0"/>
    </w:p>
    <w:sectPr w:rsidR="00420448" w:rsidSect="00EC6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48"/>
    <w:rsid w:val="00043EFB"/>
    <w:rsid w:val="00420448"/>
    <w:rsid w:val="005616A1"/>
    <w:rsid w:val="006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6">
    <w:name w:val="p6"/>
    <w:basedOn w:val="a"/>
    <w:rsid w:val="00420448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uiPriority w:val="59"/>
    <w:rsid w:val="0042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6">
    <w:name w:val="p6"/>
    <w:basedOn w:val="a"/>
    <w:rsid w:val="00420448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uiPriority w:val="59"/>
    <w:rsid w:val="0042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2018-04-12T08:26:00Z</dcterms:created>
  <dcterms:modified xsi:type="dcterms:W3CDTF">2018-04-12T09:14:00Z</dcterms:modified>
</cp:coreProperties>
</file>